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FBF2" w14:textId="689633FC" w:rsidR="00066FB4" w:rsidRDefault="00066FB4" w:rsidP="00066FB4">
      <w:pPr>
        <w:shd w:val="clear" w:color="auto" w:fill="FFFFFF"/>
        <w:tabs>
          <w:tab w:val="num" w:pos="720"/>
        </w:tabs>
        <w:ind w:hanging="360"/>
        <w:textAlignment w:val="baseline"/>
        <w:rPr>
          <w:rFonts w:cstheme="minorHAnsi"/>
          <w:color w:val="000000" w:themeColor="text1"/>
        </w:rPr>
      </w:pPr>
      <w:r w:rsidRPr="00066FB4">
        <w:rPr>
          <w:rFonts w:cstheme="minorHAnsi"/>
          <w:color w:val="000000" w:themeColor="text1"/>
        </w:rPr>
        <w:t xml:space="preserve">The ACGME has provided guidance for </w:t>
      </w:r>
      <w:r w:rsidRPr="00B23594">
        <w:rPr>
          <w:rFonts w:cstheme="minorHAnsi"/>
          <w:b/>
          <w:bCs/>
          <w:color w:val="000000" w:themeColor="text1"/>
        </w:rPr>
        <w:t>residency and fellowship program</w:t>
      </w:r>
      <w:r w:rsidRPr="00066FB4">
        <w:rPr>
          <w:rFonts w:cstheme="minorHAnsi"/>
          <w:color w:val="000000" w:themeColor="text1"/>
        </w:rPr>
        <w:t xml:space="preserve">s that are accredited by the ACGME during the COVID-19 pandemic.  These guidelines can be found at </w:t>
      </w:r>
      <w:hyperlink r:id="rId5" w:history="1">
        <w:r w:rsidR="00B23594" w:rsidRPr="0049633D">
          <w:rPr>
            <w:rStyle w:val="Hyperlink"/>
            <w:rFonts w:cstheme="minorHAnsi"/>
          </w:rPr>
          <w:t>https://acgme.org/COVID-19/</w:t>
        </w:r>
      </w:hyperlink>
    </w:p>
    <w:p w14:paraId="49A3742E" w14:textId="65554594" w:rsidR="00B23594" w:rsidRDefault="00B23594" w:rsidP="00066FB4">
      <w:pPr>
        <w:shd w:val="clear" w:color="auto" w:fill="FFFFFF"/>
        <w:tabs>
          <w:tab w:val="num" w:pos="720"/>
        </w:tabs>
        <w:ind w:hanging="360"/>
        <w:textAlignment w:val="baseline"/>
        <w:rPr>
          <w:rFonts w:cstheme="minorHAnsi"/>
          <w:color w:val="000000" w:themeColor="text1"/>
        </w:rPr>
      </w:pPr>
    </w:p>
    <w:p w14:paraId="135B2259" w14:textId="463A9812" w:rsidR="00B23594" w:rsidRDefault="00B23594" w:rsidP="00066FB4">
      <w:pPr>
        <w:shd w:val="clear" w:color="auto" w:fill="FFFFFF"/>
        <w:tabs>
          <w:tab w:val="num" w:pos="720"/>
        </w:tabs>
        <w:ind w:hanging="360"/>
        <w:textAlignment w:val="baseline"/>
        <w:rPr>
          <w:rFonts w:cstheme="minorHAnsi"/>
          <w:color w:val="000000" w:themeColor="text1"/>
        </w:rPr>
      </w:pPr>
      <w:r>
        <w:rPr>
          <w:rFonts w:cstheme="minorHAnsi"/>
          <w:color w:val="000000" w:themeColor="text1"/>
        </w:rPr>
        <w:t xml:space="preserve">Importantly, </w:t>
      </w:r>
      <w:r w:rsidR="00E2492A">
        <w:rPr>
          <w:rFonts w:cstheme="minorHAnsi"/>
          <w:color w:val="000000" w:themeColor="text1"/>
        </w:rPr>
        <w:t xml:space="preserve">AAST </w:t>
      </w:r>
      <w:r>
        <w:rPr>
          <w:rFonts w:cstheme="minorHAnsi"/>
          <w:color w:val="000000" w:themeColor="text1"/>
        </w:rPr>
        <w:t>Acute Care Surgery fellowships are not accredited by the ACGME and are not subject to this oversight.  Surgical Critical Care fellowships are accredited by the ACGME and are subject to this oversight.  Acute Care Surgery fellows can practice in their core specialty subject to local/institutional</w:t>
      </w:r>
      <w:r w:rsidR="00E2492A">
        <w:rPr>
          <w:rFonts w:cstheme="minorHAnsi"/>
          <w:color w:val="000000" w:themeColor="text1"/>
        </w:rPr>
        <w:t xml:space="preserve"> regulations.</w:t>
      </w:r>
    </w:p>
    <w:p w14:paraId="6CA6B74E" w14:textId="52D3282A" w:rsidR="00E2492A" w:rsidRDefault="00E2492A" w:rsidP="00066FB4">
      <w:pPr>
        <w:shd w:val="clear" w:color="auto" w:fill="FFFFFF"/>
        <w:tabs>
          <w:tab w:val="num" w:pos="720"/>
        </w:tabs>
        <w:ind w:hanging="360"/>
        <w:textAlignment w:val="baseline"/>
        <w:rPr>
          <w:rFonts w:cstheme="minorHAnsi"/>
          <w:color w:val="000000" w:themeColor="text1"/>
        </w:rPr>
      </w:pPr>
    </w:p>
    <w:p w14:paraId="2E723C8C" w14:textId="39191E7A" w:rsidR="00066FB4" w:rsidRPr="00E2492A" w:rsidRDefault="00E2492A" w:rsidP="00E2492A">
      <w:pPr>
        <w:shd w:val="clear" w:color="auto" w:fill="FFFFFF"/>
        <w:tabs>
          <w:tab w:val="num" w:pos="720"/>
        </w:tabs>
        <w:ind w:hanging="360"/>
        <w:textAlignment w:val="baseline"/>
        <w:rPr>
          <w:rFonts w:cstheme="minorHAnsi"/>
          <w:color w:val="000000" w:themeColor="text1"/>
        </w:rPr>
      </w:pPr>
      <w:r>
        <w:rPr>
          <w:rFonts w:cstheme="minorHAnsi"/>
          <w:color w:val="000000" w:themeColor="text1"/>
        </w:rPr>
        <w:t>For ACGME-accredited programs, ea</w:t>
      </w:r>
      <w:r w:rsidR="00066FB4" w:rsidRPr="00066FB4">
        <w:rPr>
          <w:rFonts w:eastAsia="Times New Roman" w:cstheme="minorHAnsi"/>
          <w:color w:val="000000" w:themeColor="text1"/>
        </w:rPr>
        <w:t xml:space="preserve">ch sponsoring institution </w:t>
      </w:r>
      <w:r>
        <w:rPr>
          <w:rFonts w:eastAsia="Times New Roman" w:cstheme="minorHAnsi"/>
          <w:color w:val="000000" w:themeColor="text1"/>
        </w:rPr>
        <w:t>declares itself in</w:t>
      </w:r>
      <w:r w:rsidR="00066FB4" w:rsidRPr="00066FB4">
        <w:rPr>
          <w:rFonts w:eastAsia="Times New Roman" w:cstheme="minorHAnsi"/>
          <w:color w:val="000000" w:themeColor="text1"/>
        </w:rPr>
        <w:t xml:space="preserve"> one of the following stages relative to education and the COVID-19 pandemic:</w:t>
      </w:r>
    </w:p>
    <w:p w14:paraId="6BF95A1E" w14:textId="77777777" w:rsidR="00066FB4" w:rsidRPr="00066FB4" w:rsidRDefault="00066FB4" w:rsidP="00066FB4">
      <w:pPr>
        <w:shd w:val="clear" w:color="auto" w:fill="FFFFFF"/>
        <w:textAlignment w:val="baseline"/>
        <w:rPr>
          <w:rFonts w:eastAsia="Times New Roman" w:cstheme="minorHAnsi"/>
          <w:color w:val="000000" w:themeColor="text1"/>
        </w:rPr>
      </w:pPr>
    </w:p>
    <w:p w14:paraId="581D4B80" w14:textId="4D232EB5" w:rsidR="00066FB4" w:rsidRPr="00066FB4" w:rsidRDefault="00066FB4" w:rsidP="00066FB4">
      <w:pPr>
        <w:numPr>
          <w:ilvl w:val="0"/>
          <w:numId w:val="1"/>
        </w:numPr>
        <w:shd w:val="clear" w:color="auto" w:fill="FFFFFF"/>
        <w:ind w:left="0"/>
        <w:textAlignment w:val="baseline"/>
        <w:rPr>
          <w:rFonts w:eastAsia="Times New Roman" w:cstheme="minorHAnsi"/>
          <w:color w:val="000000" w:themeColor="text1"/>
        </w:rPr>
      </w:pPr>
      <w:r w:rsidRPr="00066FB4">
        <w:rPr>
          <w:rFonts w:eastAsia="Times New Roman" w:cstheme="minorHAnsi"/>
          <w:color w:val="000000" w:themeColor="text1"/>
        </w:rPr>
        <w:t>Stage 1 – “business as usual”</w:t>
      </w:r>
    </w:p>
    <w:p w14:paraId="76E6568C" w14:textId="77777777" w:rsidR="00066FB4" w:rsidRPr="00066FB4" w:rsidRDefault="00066FB4" w:rsidP="00066FB4">
      <w:pPr>
        <w:numPr>
          <w:ilvl w:val="0"/>
          <w:numId w:val="1"/>
        </w:numPr>
        <w:shd w:val="clear" w:color="auto" w:fill="FFFFFF"/>
        <w:ind w:left="0"/>
        <w:textAlignment w:val="baseline"/>
        <w:rPr>
          <w:rFonts w:eastAsia="Times New Roman" w:cstheme="minorHAnsi"/>
          <w:color w:val="000000" w:themeColor="text1"/>
        </w:rPr>
      </w:pPr>
      <w:r w:rsidRPr="00066FB4">
        <w:rPr>
          <w:rFonts w:eastAsia="Times New Roman" w:cstheme="minorHAnsi"/>
          <w:color w:val="000000" w:themeColor="text1"/>
        </w:rPr>
        <w:t>Stage 2 – increased but manageable clinical demand</w:t>
      </w:r>
    </w:p>
    <w:p w14:paraId="7D932C05" w14:textId="4D644778" w:rsidR="00066FB4" w:rsidRDefault="00066FB4" w:rsidP="00066FB4">
      <w:pPr>
        <w:numPr>
          <w:ilvl w:val="0"/>
          <w:numId w:val="1"/>
        </w:numPr>
        <w:shd w:val="clear" w:color="auto" w:fill="FFFFFF"/>
        <w:ind w:left="0"/>
        <w:textAlignment w:val="baseline"/>
        <w:rPr>
          <w:rFonts w:eastAsia="Times New Roman" w:cstheme="minorHAnsi"/>
          <w:color w:val="000000" w:themeColor="text1"/>
        </w:rPr>
      </w:pPr>
      <w:r w:rsidRPr="00066FB4">
        <w:rPr>
          <w:rFonts w:eastAsia="Times New Roman" w:cstheme="minorHAnsi"/>
          <w:color w:val="000000" w:themeColor="text1"/>
        </w:rPr>
        <w:t>Stage 3 – crossing a threshold beyond which the increase in volume and/or severity of illness creates an extraordinary circumstance where routine care education and delivery must be reconfigured to focus only on patient care</w:t>
      </w:r>
    </w:p>
    <w:p w14:paraId="1B16A4EE" w14:textId="4EC20C3C" w:rsidR="00B23594" w:rsidRDefault="00B23594" w:rsidP="00B23594">
      <w:pPr>
        <w:shd w:val="clear" w:color="auto" w:fill="FFFFFF"/>
        <w:textAlignment w:val="baseline"/>
        <w:rPr>
          <w:rFonts w:eastAsia="Times New Roman" w:cstheme="minorHAnsi"/>
          <w:color w:val="000000" w:themeColor="text1"/>
        </w:rPr>
      </w:pPr>
    </w:p>
    <w:p w14:paraId="055C4878" w14:textId="3E06DA54" w:rsidR="00B23594" w:rsidRPr="00066FB4" w:rsidRDefault="00B23594" w:rsidP="00B23594">
      <w:pPr>
        <w:shd w:val="clear" w:color="auto" w:fill="FFFFFF"/>
        <w:textAlignment w:val="baseline"/>
        <w:rPr>
          <w:rFonts w:eastAsia="Times New Roman" w:cstheme="minorHAnsi"/>
          <w:color w:val="000000" w:themeColor="text1"/>
        </w:rPr>
      </w:pPr>
      <w:r>
        <w:rPr>
          <w:rFonts w:eastAsia="Times New Roman" w:cstheme="minorHAnsi"/>
          <w:color w:val="000000" w:themeColor="text1"/>
        </w:rPr>
        <w:t>The following outlines changes that may occur at each stage:</w:t>
      </w:r>
    </w:p>
    <w:p w14:paraId="3743ABE1" w14:textId="25A0121F" w:rsidR="00066FB4" w:rsidRPr="00066FB4" w:rsidRDefault="00066FB4" w:rsidP="00066FB4">
      <w:pPr>
        <w:shd w:val="clear" w:color="auto" w:fill="FFFFFF"/>
        <w:textAlignment w:val="baseline"/>
        <w:rPr>
          <w:rFonts w:eastAsia="Times New Roman" w:cstheme="minorHAnsi"/>
          <w:color w:val="000000" w:themeColor="text1"/>
        </w:rPr>
      </w:pPr>
    </w:p>
    <w:p w14:paraId="08E3EE6E" w14:textId="7562177E" w:rsidR="00066FB4" w:rsidRPr="00066FB4" w:rsidRDefault="00066FB4" w:rsidP="00066FB4">
      <w:pPr>
        <w:shd w:val="clear" w:color="auto" w:fill="FFFFFF"/>
        <w:textAlignment w:val="baseline"/>
        <w:rPr>
          <w:rFonts w:eastAsia="Times New Roman" w:cstheme="minorHAnsi"/>
          <w:color w:val="000000" w:themeColor="text1"/>
        </w:rPr>
      </w:pPr>
      <w:r w:rsidRPr="00066FB4">
        <w:rPr>
          <w:rFonts w:eastAsia="Times New Roman" w:cstheme="minorHAnsi"/>
          <w:color w:val="000000" w:themeColor="text1"/>
        </w:rPr>
        <w:t>Stage 1—there are no changes to ACGME requirements, either Core or specialty-specific requirements.</w:t>
      </w:r>
    </w:p>
    <w:p w14:paraId="4F2C3A81" w14:textId="6ECD38E8" w:rsidR="00066FB4" w:rsidRPr="00066FB4" w:rsidRDefault="00066FB4" w:rsidP="00066FB4">
      <w:pPr>
        <w:shd w:val="clear" w:color="auto" w:fill="FFFFFF"/>
        <w:textAlignment w:val="baseline"/>
        <w:rPr>
          <w:rFonts w:eastAsia="Times New Roman" w:cstheme="minorHAnsi"/>
          <w:color w:val="000000" w:themeColor="text1"/>
        </w:rPr>
      </w:pPr>
    </w:p>
    <w:p w14:paraId="5887EEFA" w14:textId="1FF569A2" w:rsidR="00B23594" w:rsidRDefault="00066FB4" w:rsidP="00B23594">
      <w:pPr>
        <w:shd w:val="clear" w:color="auto" w:fill="FFFFFF"/>
        <w:textAlignment w:val="baseline"/>
        <w:rPr>
          <w:rFonts w:eastAsia="Times New Roman" w:cstheme="minorHAnsi"/>
          <w:color w:val="000000" w:themeColor="text1"/>
        </w:rPr>
      </w:pPr>
      <w:r w:rsidRPr="00066FB4">
        <w:rPr>
          <w:rFonts w:eastAsia="Times New Roman" w:cstheme="minorHAnsi"/>
          <w:color w:val="000000" w:themeColor="text1"/>
        </w:rPr>
        <w:t>Stage 2--</w:t>
      </w:r>
      <w:r w:rsidR="00B23594">
        <w:rPr>
          <w:rFonts w:eastAsia="Times New Roman" w:cstheme="minorHAnsi"/>
          <w:color w:val="000000" w:themeColor="text1"/>
        </w:rPr>
        <w:t xml:space="preserve"> </w:t>
      </w:r>
      <w:r w:rsidRPr="00066FB4">
        <w:rPr>
          <w:rFonts w:eastAsia="Times New Roman" w:cstheme="minorHAnsi"/>
          <w:color w:val="000000" w:themeColor="text1"/>
        </w:rPr>
        <w:t xml:space="preserve">The Common Program Requirements, specialty-specific Program Requirements, and Institutional Requirements </w:t>
      </w:r>
      <w:r w:rsidRPr="00066FB4">
        <w:rPr>
          <w:rFonts w:eastAsia="Times New Roman" w:cstheme="minorHAnsi"/>
          <w:b/>
          <w:bCs/>
          <w:color w:val="000000" w:themeColor="text1"/>
        </w:rPr>
        <w:t>remain in effect</w:t>
      </w:r>
      <w:r w:rsidRPr="00066FB4">
        <w:rPr>
          <w:rFonts w:eastAsia="Times New Roman" w:cstheme="minorHAnsi"/>
          <w:color w:val="000000" w:themeColor="text1"/>
        </w:rPr>
        <w:t xml:space="preserve"> with </w:t>
      </w:r>
      <w:r>
        <w:rPr>
          <w:rFonts w:eastAsia="Times New Roman" w:cstheme="minorHAnsi"/>
          <w:color w:val="000000" w:themeColor="text1"/>
        </w:rPr>
        <w:t xml:space="preserve">some </w:t>
      </w:r>
      <w:r w:rsidRPr="00066FB4">
        <w:rPr>
          <w:rFonts w:eastAsia="Times New Roman" w:cstheme="minorHAnsi"/>
          <w:color w:val="000000" w:themeColor="text1"/>
        </w:rPr>
        <w:t>flexibility.</w:t>
      </w:r>
      <w:r>
        <w:rPr>
          <w:rFonts w:eastAsia="Times New Roman" w:cstheme="minorHAnsi"/>
          <w:color w:val="000000" w:themeColor="text1"/>
        </w:rPr>
        <w:t xml:space="preserve">  </w:t>
      </w:r>
    </w:p>
    <w:p w14:paraId="651BC349" w14:textId="61D11BE8" w:rsidR="00B23594" w:rsidRDefault="00B23594" w:rsidP="00E2492A">
      <w:pPr>
        <w:shd w:val="clear" w:color="auto" w:fill="FFFFFF"/>
        <w:spacing w:after="270" w:line="360" w:lineRule="atLeast"/>
        <w:ind w:firstLine="360"/>
        <w:textAlignment w:val="baseline"/>
        <w:rPr>
          <w:rFonts w:eastAsia="Times New Roman" w:cstheme="minorHAnsi"/>
          <w:color w:val="000000" w:themeColor="text1"/>
        </w:rPr>
      </w:pPr>
      <w:r>
        <w:rPr>
          <w:rFonts w:eastAsia="Times New Roman" w:cstheme="minorHAnsi"/>
          <w:color w:val="000000" w:themeColor="text1"/>
        </w:rPr>
        <w:t xml:space="preserve">What has </w:t>
      </w:r>
      <w:r w:rsidRPr="00B23594">
        <w:rPr>
          <w:rFonts w:eastAsia="Times New Roman" w:cstheme="minorHAnsi"/>
          <w:b/>
          <w:bCs/>
          <w:color w:val="000000" w:themeColor="text1"/>
        </w:rPr>
        <w:t xml:space="preserve">NOT </w:t>
      </w:r>
      <w:r>
        <w:rPr>
          <w:rFonts w:eastAsia="Times New Roman" w:cstheme="minorHAnsi"/>
          <w:color w:val="000000" w:themeColor="text1"/>
        </w:rPr>
        <w:t>changed:</w:t>
      </w:r>
    </w:p>
    <w:p w14:paraId="456A9720" w14:textId="19FF2025" w:rsidR="00066FB4" w:rsidRPr="00B23594" w:rsidRDefault="00B23594" w:rsidP="00B23594">
      <w:pPr>
        <w:pStyle w:val="ListParagraph"/>
        <w:numPr>
          <w:ilvl w:val="0"/>
          <w:numId w:val="4"/>
        </w:numPr>
        <w:shd w:val="clear" w:color="auto" w:fill="FFFFFF"/>
        <w:spacing w:line="360" w:lineRule="atLeast"/>
        <w:textAlignment w:val="baseline"/>
        <w:rPr>
          <w:rFonts w:eastAsia="Times New Roman" w:cstheme="minorHAnsi"/>
          <w:color w:val="000000" w:themeColor="text1"/>
        </w:rPr>
      </w:pPr>
      <w:r w:rsidRPr="00B23594">
        <w:rPr>
          <w:rFonts w:eastAsia="Times New Roman" w:cstheme="minorHAnsi"/>
          <w:color w:val="000000" w:themeColor="text1"/>
          <w:bdr w:val="none" w:sz="0" w:space="0" w:color="auto" w:frame="1"/>
        </w:rPr>
        <w:t xml:space="preserve">Requirement for </w:t>
      </w:r>
      <w:r w:rsidR="00066FB4" w:rsidRPr="00B23594">
        <w:rPr>
          <w:rFonts w:eastAsia="Times New Roman" w:cstheme="minorHAnsi"/>
          <w:color w:val="000000" w:themeColor="text1"/>
          <w:bdr w:val="none" w:sz="0" w:space="0" w:color="auto" w:frame="1"/>
        </w:rPr>
        <w:t>Adequate Resources and Training</w:t>
      </w:r>
    </w:p>
    <w:p w14:paraId="25346E55" w14:textId="6B80F5D8" w:rsidR="00066FB4" w:rsidRPr="00B23594" w:rsidRDefault="00B23594" w:rsidP="00B23594">
      <w:pPr>
        <w:pStyle w:val="ListParagraph"/>
        <w:numPr>
          <w:ilvl w:val="0"/>
          <w:numId w:val="4"/>
        </w:numPr>
        <w:shd w:val="clear" w:color="auto" w:fill="FFFFFF"/>
        <w:spacing w:line="360" w:lineRule="atLeast"/>
        <w:textAlignment w:val="baseline"/>
        <w:rPr>
          <w:rFonts w:eastAsia="Times New Roman" w:cstheme="minorHAnsi"/>
          <w:color w:val="000000" w:themeColor="text1"/>
        </w:rPr>
      </w:pPr>
      <w:r w:rsidRPr="00B23594">
        <w:rPr>
          <w:rFonts w:eastAsia="Times New Roman" w:cstheme="minorHAnsi"/>
          <w:color w:val="000000" w:themeColor="text1"/>
          <w:bdr w:val="none" w:sz="0" w:space="0" w:color="auto" w:frame="1"/>
        </w:rPr>
        <w:t xml:space="preserve">Requirement for </w:t>
      </w:r>
      <w:r w:rsidR="00066FB4" w:rsidRPr="00B23594">
        <w:rPr>
          <w:rFonts w:eastAsia="Times New Roman" w:cstheme="minorHAnsi"/>
          <w:color w:val="000000" w:themeColor="text1"/>
          <w:bdr w:val="none" w:sz="0" w:space="0" w:color="auto" w:frame="1"/>
        </w:rPr>
        <w:t>Adequate Supervision</w:t>
      </w:r>
    </w:p>
    <w:p w14:paraId="13C15535" w14:textId="77777777" w:rsidR="00B23594" w:rsidRPr="00B23594" w:rsidRDefault="00B23594" w:rsidP="00B23594">
      <w:pPr>
        <w:pStyle w:val="ListParagraph"/>
        <w:numPr>
          <w:ilvl w:val="0"/>
          <w:numId w:val="4"/>
        </w:numPr>
        <w:shd w:val="clear" w:color="auto" w:fill="FFFFFF"/>
        <w:spacing w:line="360" w:lineRule="atLeast"/>
        <w:textAlignment w:val="baseline"/>
        <w:rPr>
          <w:rFonts w:eastAsia="Times New Roman" w:cstheme="minorHAnsi"/>
          <w:color w:val="000000" w:themeColor="text1"/>
        </w:rPr>
      </w:pPr>
      <w:r w:rsidRPr="00B23594">
        <w:rPr>
          <w:rFonts w:eastAsia="Times New Roman" w:cstheme="minorHAnsi"/>
          <w:color w:val="000000" w:themeColor="text1"/>
          <w:bdr w:val="none" w:sz="0" w:space="0" w:color="auto" w:frame="1"/>
        </w:rPr>
        <w:t xml:space="preserve">Current </w:t>
      </w:r>
      <w:r w:rsidR="00066FB4" w:rsidRPr="00B23594">
        <w:rPr>
          <w:rFonts w:eastAsia="Times New Roman" w:cstheme="minorHAnsi"/>
          <w:color w:val="000000" w:themeColor="text1"/>
          <w:bdr w:val="none" w:sz="0" w:space="0" w:color="auto" w:frame="1"/>
        </w:rPr>
        <w:t>Work Hour Requirements</w:t>
      </w:r>
    </w:p>
    <w:p w14:paraId="67798632" w14:textId="69F1AC94" w:rsidR="00066FB4" w:rsidRPr="00B23594" w:rsidRDefault="00B23594" w:rsidP="00B23594">
      <w:pPr>
        <w:pStyle w:val="ListParagraph"/>
        <w:numPr>
          <w:ilvl w:val="0"/>
          <w:numId w:val="4"/>
        </w:numPr>
        <w:shd w:val="clear" w:color="auto" w:fill="FFFFFF"/>
        <w:spacing w:line="360" w:lineRule="atLeast"/>
        <w:textAlignment w:val="baseline"/>
        <w:rPr>
          <w:rFonts w:eastAsia="Times New Roman" w:cstheme="minorHAnsi"/>
          <w:color w:val="000000" w:themeColor="text1"/>
        </w:rPr>
      </w:pPr>
      <w:r>
        <w:rPr>
          <w:rFonts w:eastAsia="Times New Roman" w:cstheme="minorHAnsi"/>
          <w:color w:val="000000" w:themeColor="text1"/>
          <w:bdr w:val="none" w:sz="0" w:space="0" w:color="auto" w:frame="1"/>
        </w:rPr>
        <w:t>Requirement for Professionalism</w:t>
      </w:r>
      <w:r w:rsidR="00066FB4" w:rsidRPr="00B23594">
        <w:rPr>
          <w:rFonts w:eastAsia="Times New Roman" w:cstheme="minorHAnsi"/>
          <w:color w:val="000000" w:themeColor="text1"/>
        </w:rPr>
        <w:br/>
      </w:r>
    </w:p>
    <w:p w14:paraId="43142489" w14:textId="2BEB97A9" w:rsidR="00B23594" w:rsidRDefault="00B23594" w:rsidP="00E2492A">
      <w:pPr>
        <w:shd w:val="clear" w:color="auto" w:fill="FFFFFF"/>
        <w:spacing w:line="360" w:lineRule="atLeast"/>
        <w:ind w:firstLine="360"/>
        <w:textAlignment w:val="baseline"/>
        <w:rPr>
          <w:rFonts w:eastAsia="Times New Roman" w:cstheme="minorHAnsi"/>
          <w:color w:val="000000" w:themeColor="text1"/>
        </w:rPr>
      </w:pPr>
      <w:r>
        <w:rPr>
          <w:rFonts w:eastAsia="Times New Roman" w:cstheme="minorHAnsi"/>
          <w:color w:val="000000" w:themeColor="text1"/>
        </w:rPr>
        <w:t>What has changed:</w:t>
      </w:r>
    </w:p>
    <w:p w14:paraId="0825EC5D" w14:textId="77777777" w:rsidR="00B23594" w:rsidRPr="00066FB4" w:rsidRDefault="00B23594" w:rsidP="00066FB4">
      <w:pPr>
        <w:shd w:val="clear" w:color="auto" w:fill="FFFFFF"/>
        <w:spacing w:line="360" w:lineRule="atLeast"/>
        <w:textAlignment w:val="baseline"/>
        <w:rPr>
          <w:rFonts w:eastAsia="Times New Roman" w:cstheme="minorHAnsi"/>
          <w:color w:val="000000" w:themeColor="text1"/>
        </w:rPr>
      </w:pPr>
    </w:p>
    <w:p w14:paraId="3C1E2BC4" w14:textId="2AD6AD77" w:rsidR="00066FB4" w:rsidRPr="00B23594" w:rsidRDefault="00066FB4" w:rsidP="00B23594">
      <w:pPr>
        <w:pStyle w:val="ListParagraph"/>
        <w:numPr>
          <w:ilvl w:val="0"/>
          <w:numId w:val="5"/>
        </w:numPr>
        <w:shd w:val="clear" w:color="auto" w:fill="FFFFFF"/>
        <w:spacing w:line="360" w:lineRule="atLeast"/>
        <w:textAlignment w:val="baseline"/>
        <w:rPr>
          <w:rFonts w:eastAsia="Times New Roman" w:cstheme="minorHAnsi"/>
          <w:color w:val="000000" w:themeColor="text1"/>
        </w:rPr>
      </w:pPr>
      <w:r w:rsidRPr="00B23594">
        <w:rPr>
          <w:rFonts w:eastAsia="Times New Roman" w:cstheme="minorHAnsi"/>
          <w:b/>
          <w:bCs/>
          <w:color w:val="000000" w:themeColor="text1"/>
          <w:bdr w:val="none" w:sz="0" w:space="0" w:color="auto" w:frame="1"/>
        </w:rPr>
        <w:t>Fellows Functioning in Core Specialty</w:t>
      </w:r>
      <w:r w:rsidRPr="00B23594">
        <w:rPr>
          <w:rFonts w:eastAsia="Times New Roman" w:cstheme="minorHAnsi"/>
          <w:color w:val="000000" w:themeColor="text1"/>
        </w:rPr>
        <w:br/>
        <w:t>Fellows in ACGME-accredited programs can function within their core specialty, consistent with the policies and procedures of the Sponsoring Institution and its participating sites, if:</w:t>
      </w:r>
    </w:p>
    <w:p w14:paraId="6C81E4DA" w14:textId="77777777" w:rsidR="00066FB4" w:rsidRPr="00066FB4" w:rsidRDefault="00066FB4" w:rsidP="00066FB4">
      <w:pPr>
        <w:numPr>
          <w:ilvl w:val="0"/>
          <w:numId w:val="2"/>
        </w:numPr>
        <w:shd w:val="clear" w:color="auto" w:fill="FFFFFF"/>
        <w:ind w:left="870"/>
        <w:textAlignment w:val="baseline"/>
        <w:rPr>
          <w:rFonts w:eastAsia="Times New Roman" w:cstheme="minorHAnsi"/>
          <w:color w:val="000000" w:themeColor="text1"/>
        </w:rPr>
      </w:pPr>
      <w:r w:rsidRPr="00066FB4">
        <w:rPr>
          <w:rFonts w:eastAsia="Times New Roman" w:cstheme="minorHAnsi"/>
          <w:color w:val="000000" w:themeColor="text1"/>
        </w:rPr>
        <w:t>they are American Board of Medical Specialties (ABMS) or American Osteopathic Association (AOA) board-eligible or -certified in the core specialty;</w:t>
      </w:r>
    </w:p>
    <w:p w14:paraId="4E35798D" w14:textId="77777777" w:rsidR="00066FB4" w:rsidRPr="00066FB4" w:rsidRDefault="00066FB4" w:rsidP="00066FB4">
      <w:pPr>
        <w:numPr>
          <w:ilvl w:val="0"/>
          <w:numId w:val="2"/>
        </w:numPr>
        <w:shd w:val="clear" w:color="auto" w:fill="FFFFFF"/>
        <w:ind w:left="870"/>
        <w:textAlignment w:val="baseline"/>
        <w:rPr>
          <w:rFonts w:eastAsia="Times New Roman" w:cstheme="minorHAnsi"/>
          <w:color w:val="000000" w:themeColor="text1"/>
        </w:rPr>
      </w:pPr>
      <w:r w:rsidRPr="00066FB4">
        <w:rPr>
          <w:rFonts w:eastAsia="Times New Roman" w:cstheme="minorHAnsi"/>
          <w:color w:val="000000" w:themeColor="text1"/>
        </w:rPr>
        <w:t>they are appointed to the medical staff at the Sponsoring Institution; and,</w:t>
      </w:r>
    </w:p>
    <w:p w14:paraId="748507E3" w14:textId="5887BBA0" w:rsidR="00066FB4" w:rsidRDefault="00066FB4" w:rsidP="00066FB4">
      <w:pPr>
        <w:numPr>
          <w:ilvl w:val="0"/>
          <w:numId w:val="2"/>
        </w:numPr>
        <w:shd w:val="clear" w:color="auto" w:fill="FFFFFF"/>
        <w:ind w:left="870"/>
        <w:textAlignment w:val="baseline"/>
        <w:rPr>
          <w:rFonts w:eastAsia="Times New Roman" w:cstheme="minorHAnsi"/>
          <w:color w:val="000000" w:themeColor="text1"/>
        </w:rPr>
      </w:pPr>
      <w:r w:rsidRPr="00066FB4">
        <w:rPr>
          <w:rFonts w:eastAsia="Times New Roman" w:cstheme="minorHAnsi"/>
          <w:color w:val="000000" w:themeColor="text1"/>
        </w:rPr>
        <w:lastRenderedPageBreak/>
        <w:t>their time spent on their core specialty service is limited to 20 percent of their annual education time in any academic year.</w:t>
      </w:r>
    </w:p>
    <w:p w14:paraId="6A35CDE7" w14:textId="2D28FC86" w:rsidR="00F36BC9" w:rsidRDefault="00F36BC9" w:rsidP="00F36BC9">
      <w:pPr>
        <w:shd w:val="clear" w:color="auto" w:fill="FFFFFF"/>
        <w:textAlignment w:val="baseline"/>
        <w:rPr>
          <w:rFonts w:eastAsia="Times New Roman" w:cstheme="minorHAnsi"/>
          <w:color w:val="000000" w:themeColor="text1"/>
        </w:rPr>
      </w:pPr>
    </w:p>
    <w:p w14:paraId="186C5FD9" w14:textId="21A70B00" w:rsidR="00F36BC9" w:rsidRPr="00066FB4" w:rsidRDefault="00F36BC9" w:rsidP="00F36BC9">
      <w:pPr>
        <w:shd w:val="clear" w:color="auto" w:fill="FFFFFF"/>
        <w:textAlignment w:val="baseline"/>
        <w:rPr>
          <w:rFonts w:eastAsia="Times New Roman" w:cstheme="minorHAnsi"/>
          <w:color w:val="000000" w:themeColor="text1"/>
        </w:rPr>
      </w:pPr>
      <w:r>
        <w:rPr>
          <w:rFonts w:eastAsia="Times New Roman" w:cstheme="minorHAnsi"/>
          <w:color w:val="000000" w:themeColor="text1"/>
        </w:rPr>
        <w:t>The uncertainty of the COVID-19 pandemic hits trainees particularly hard, as their role uncertainty and need to alter schedules increases anxiety and amplifies concerns about performance, skill, and professional “place”.  Maintaining educational structure, even remotely, along with ongoing support is crucial.</w:t>
      </w:r>
    </w:p>
    <w:p w14:paraId="2E8C7E5C" w14:textId="77777777" w:rsidR="00066FB4" w:rsidRPr="00066FB4" w:rsidRDefault="00066FB4" w:rsidP="00066FB4">
      <w:pPr>
        <w:rPr>
          <w:rFonts w:eastAsia="Times New Roman" w:cstheme="minorHAnsi"/>
          <w:color w:val="000000" w:themeColor="text1"/>
        </w:rPr>
      </w:pPr>
    </w:p>
    <w:p w14:paraId="0293EF65" w14:textId="6C3510D1" w:rsidR="00066FB4" w:rsidRPr="00066FB4" w:rsidRDefault="00B23594" w:rsidP="00B23594">
      <w:pPr>
        <w:rPr>
          <w:rFonts w:cstheme="minorHAnsi"/>
          <w:b/>
          <w:bCs/>
          <w:color w:val="000000" w:themeColor="text1"/>
        </w:rPr>
      </w:pPr>
      <w:r>
        <w:rPr>
          <w:rFonts w:eastAsia="Times New Roman" w:cstheme="minorHAnsi"/>
          <w:color w:val="000000" w:themeColor="text1"/>
          <w:shd w:val="clear" w:color="auto" w:fill="FFFFFF"/>
        </w:rPr>
        <w:t>Stage 3--</w:t>
      </w:r>
      <w:r>
        <w:rPr>
          <w:rFonts w:cstheme="minorHAnsi"/>
          <w:color w:val="000000" w:themeColor="text1"/>
        </w:rPr>
        <w:t xml:space="preserve"> </w:t>
      </w:r>
      <w:r w:rsidR="00066FB4" w:rsidRPr="00066FB4">
        <w:rPr>
          <w:rFonts w:eastAsia="Times New Roman" w:cstheme="minorHAnsi"/>
          <w:color w:val="000000" w:themeColor="text1"/>
        </w:rPr>
        <w:t>In circumstances where patient needs create a crisis in patient care delivery configuration, the designated institutional official (DIO), with the attestation of the Sponsoring Institution’s clinical leadership and chief executive officer, may self-declare Pandemic Emergency Status. Notice of this declaration and attestation of approval must be signed by the DIO and electronically delivered to </w:t>
      </w:r>
      <w:hyperlink r:id="rId6" w:history="1">
        <w:r w:rsidR="00066FB4" w:rsidRPr="00066FB4">
          <w:rPr>
            <w:rFonts w:eastAsia="Times New Roman" w:cstheme="minorHAnsi"/>
            <w:color w:val="000000" w:themeColor="text1"/>
            <w:u w:val="single"/>
            <w:bdr w:val="none" w:sz="0" w:space="0" w:color="auto" w:frame="1"/>
          </w:rPr>
          <w:t>dio@acgme.org</w:t>
        </w:r>
      </w:hyperlink>
      <w:r w:rsidR="00066FB4" w:rsidRPr="00066FB4">
        <w:rPr>
          <w:rFonts w:eastAsia="Times New Roman" w:cstheme="minorHAnsi"/>
          <w:color w:val="000000" w:themeColor="text1"/>
        </w:rPr>
        <w:t> .</w:t>
      </w:r>
      <w:r>
        <w:rPr>
          <w:rFonts w:eastAsia="Times New Roman" w:cstheme="minorHAnsi"/>
          <w:color w:val="000000" w:themeColor="text1"/>
        </w:rPr>
        <w:t xml:space="preserve">  This status can last a </w:t>
      </w:r>
      <w:r w:rsidRPr="00B23594">
        <w:rPr>
          <w:rFonts w:eastAsia="Times New Roman" w:cstheme="minorHAnsi"/>
          <w:b/>
          <w:bCs/>
          <w:color w:val="000000" w:themeColor="text1"/>
        </w:rPr>
        <w:t>maximum of 30 days.</w:t>
      </w:r>
    </w:p>
    <w:p w14:paraId="1FDD44D0" w14:textId="4AD31C22" w:rsidR="00B23594" w:rsidRDefault="00B23594" w:rsidP="00066FB4">
      <w:pPr>
        <w:shd w:val="clear" w:color="auto" w:fill="FFFFFF"/>
        <w:spacing w:line="360" w:lineRule="atLeast"/>
        <w:textAlignment w:val="baseline"/>
        <w:rPr>
          <w:rFonts w:eastAsia="Times New Roman" w:cstheme="minorHAnsi"/>
          <w:b/>
          <w:bCs/>
          <w:color w:val="000000" w:themeColor="text1"/>
          <w:bdr w:val="none" w:sz="0" w:space="0" w:color="auto" w:frame="1"/>
        </w:rPr>
      </w:pPr>
    </w:p>
    <w:p w14:paraId="1FEB2815" w14:textId="59375344" w:rsidR="00B23594" w:rsidRDefault="00B23594" w:rsidP="00E2492A">
      <w:pPr>
        <w:shd w:val="clear" w:color="auto" w:fill="FFFFFF"/>
        <w:spacing w:line="360" w:lineRule="atLeast"/>
        <w:ind w:firstLine="360"/>
        <w:textAlignment w:val="baseline"/>
        <w:rPr>
          <w:rFonts w:eastAsia="Times New Roman" w:cstheme="minorHAnsi"/>
          <w:b/>
          <w:bCs/>
          <w:color w:val="000000" w:themeColor="text1"/>
          <w:bdr w:val="none" w:sz="0" w:space="0" w:color="auto" w:frame="1"/>
        </w:rPr>
      </w:pPr>
      <w:r>
        <w:rPr>
          <w:rFonts w:eastAsia="Times New Roman" w:cstheme="minorHAnsi"/>
          <w:b/>
          <w:bCs/>
          <w:color w:val="000000" w:themeColor="text1"/>
          <w:bdr w:val="none" w:sz="0" w:space="0" w:color="auto" w:frame="1"/>
        </w:rPr>
        <w:t xml:space="preserve">The only </w:t>
      </w:r>
      <w:r w:rsidR="00E2492A">
        <w:rPr>
          <w:rFonts w:eastAsia="Times New Roman" w:cstheme="minorHAnsi"/>
          <w:b/>
          <w:bCs/>
          <w:color w:val="000000" w:themeColor="text1"/>
          <w:bdr w:val="none" w:sz="0" w:space="0" w:color="auto" w:frame="1"/>
        </w:rPr>
        <w:t xml:space="preserve">ACGME </w:t>
      </w:r>
      <w:r>
        <w:rPr>
          <w:rFonts w:eastAsia="Times New Roman" w:cstheme="minorHAnsi"/>
          <w:b/>
          <w:bCs/>
          <w:color w:val="000000" w:themeColor="text1"/>
          <w:bdr w:val="none" w:sz="0" w:space="0" w:color="auto" w:frame="1"/>
        </w:rPr>
        <w:t>requirements that remain in effect are:</w:t>
      </w:r>
    </w:p>
    <w:p w14:paraId="496F2848" w14:textId="77483C72" w:rsidR="00B23594" w:rsidRDefault="00B23594" w:rsidP="00066FB4">
      <w:pPr>
        <w:shd w:val="clear" w:color="auto" w:fill="FFFFFF"/>
        <w:spacing w:line="360" w:lineRule="atLeast"/>
        <w:textAlignment w:val="baseline"/>
        <w:rPr>
          <w:rFonts w:eastAsia="Times New Roman" w:cstheme="minorHAnsi"/>
          <w:b/>
          <w:bCs/>
          <w:color w:val="000000" w:themeColor="text1"/>
          <w:bdr w:val="none" w:sz="0" w:space="0" w:color="auto" w:frame="1"/>
        </w:rPr>
      </w:pPr>
    </w:p>
    <w:p w14:paraId="2AEB8AE4" w14:textId="77777777" w:rsidR="00B23594" w:rsidRPr="00B23594" w:rsidRDefault="00B23594" w:rsidP="00B23594">
      <w:pPr>
        <w:pStyle w:val="ListParagraph"/>
        <w:numPr>
          <w:ilvl w:val="0"/>
          <w:numId w:val="4"/>
        </w:numPr>
        <w:shd w:val="clear" w:color="auto" w:fill="FFFFFF"/>
        <w:spacing w:line="360" w:lineRule="atLeast"/>
        <w:textAlignment w:val="baseline"/>
        <w:rPr>
          <w:rFonts w:eastAsia="Times New Roman" w:cstheme="minorHAnsi"/>
          <w:color w:val="000000" w:themeColor="text1"/>
        </w:rPr>
      </w:pPr>
      <w:r w:rsidRPr="00B23594">
        <w:rPr>
          <w:rFonts w:eastAsia="Times New Roman" w:cstheme="minorHAnsi"/>
          <w:color w:val="000000" w:themeColor="text1"/>
          <w:bdr w:val="none" w:sz="0" w:space="0" w:color="auto" w:frame="1"/>
        </w:rPr>
        <w:t>Requirement for Adequate Resources and Training</w:t>
      </w:r>
    </w:p>
    <w:p w14:paraId="293C1044" w14:textId="77777777" w:rsidR="00B23594" w:rsidRPr="00B23594" w:rsidRDefault="00B23594" w:rsidP="00B23594">
      <w:pPr>
        <w:pStyle w:val="ListParagraph"/>
        <w:numPr>
          <w:ilvl w:val="0"/>
          <w:numId w:val="4"/>
        </w:numPr>
        <w:shd w:val="clear" w:color="auto" w:fill="FFFFFF"/>
        <w:spacing w:line="360" w:lineRule="atLeast"/>
        <w:textAlignment w:val="baseline"/>
        <w:rPr>
          <w:rFonts w:eastAsia="Times New Roman" w:cstheme="minorHAnsi"/>
          <w:color w:val="000000" w:themeColor="text1"/>
        </w:rPr>
      </w:pPr>
      <w:r w:rsidRPr="00B23594">
        <w:rPr>
          <w:rFonts w:eastAsia="Times New Roman" w:cstheme="minorHAnsi"/>
          <w:color w:val="000000" w:themeColor="text1"/>
          <w:bdr w:val="none" w:sz="0" w:space="0" w:color="auto" w:frame="1"/>
        </w:rPr>
        <w:t>Requirement for Adequate Supervision</w:t>
      </w:r>
    </w:p>
    <w:p w14:paraId="291BD7EA" w14:textId="77777777" w:rsidR="00B23594" w:rsidRPr="00B23594" w:rsidRDefault="00B23594" w:rsidP="00B23594">
      <w:pPr>
        <w:pStyle w:val="ListParagraph"/>
        <w:numPr>
          <w:ilvl w:val="0"/>
          <w:numId w:val="4"/>
        </w:numPr>
        <w:shd w:val="clear" w:color="auto" w:fill="FFFFFF"/>
        <w:spacing w:line="360" w:lineRule="atLeast"/>
        <w:textAlignment w:val="baseline"/>
        <w:rPr>
          <w:rFonts w:eastAsia="Times New Roman" w:cstheme="minorHAnsi"/>
          <w:color w:val="000000" w:themeColor="text1"/>
        </w:rPr>
      </w:pPr>
      <w:r w:rsidRPr="00B23594">
        <w:rPr>
          <w:rFonts w:eastAsia="Times New Roman" w:cstheme="minorHAnsi"/>
          <w:color w:val="000000" w:themeColor="text1"/>
          <w:bdr w:val="none" w:sz="0" w:space="0" w:color="auto" w:frame="1"/>
        </w:rPr>
        <w:t>Current Work Hour Requirements</w:t>
      </w:r>
    </w:p>
    <w:p w14:paraId="2943D914" w14:textId="1AAE7032" w:rsidR="00B23594" w:rsidRPr="00B23594" w:rsidRDefault="00B23594" w:rsidP="00B23594">
      <w:pPr>
        <w:pStyle w:val="ListParagraph"/>
        <w:numPr>
          <w:ilvl w:val="0"/>
          <w:numId w:val="4"/>
        </w:numPr>
        <w:shd w:val="clear" w:color="auto" w:fill="FFFFFF"/>
        <w:spacing w:line="360" w:lineRule="atLeast"/>
        <w:textAlignment w:val="baseline"/>
        <w:rPr>
          <w:rFonts w:eastAsia="Times New Roman" w:cstheme="minorHAnsi"/>
          <w:color w:val="000000" w:themeColor="text1"/>
        </w:rPr>
      </w:pPr>
      <w:r w:rsidRPr="00B23594">
        <w:rPr>
          <w:rFonts w:eastAsia="Times New Roman" w:cstheme="minorHAnsi"/>
          <w:color w:val="000000" w:themeColor="text1"/>
          <w:bdr w:val="none" w:sz="0" w:space="0" w:color="auto" w:frame="1"/>
        </w:rPr>
        <w:t>Requirement for Professionalism</w:t>
      </w:r>
    </w:p>
    <w:p w14:paraId="3112F187" w14:textId="256651E1" w:rsidR="00B23594" w:rsidRDefault="00B23594" w:rsidP="00B23594">
      <w:pPr>
        <w:shd w:val="clear" w:color="auto" w:fill="FFFFFF"/>
        <w:spacing w:line="360" w:lineRule="atLeast"/>
        <w:textAlignment w:val="baseline"/>
        <w:rPr>
          <w:rFonts w:eastAsia="Times New Roman" w:cstheme="minorHAnsi"/>
          <w:color w:val="000000" w:themeColor="text1"/>
        </w:rPr>
      </w:pPr>
    </w:p>
    <w:p w14:paraId="615FE972" w14:textId="29C83209" w:rsidR="00B23594" w:rsidRPr="00B23594" w:rsidRDefault="00B23594" w:rsidP="00E2492A">
      <w:pPr>
        <w:shd w:val="clear" w:color="auto" w:fill="FFFFFF"/>
        <w:spacing w:line="360" w:lineRule="atLeast"/>
        <w:ind w:left="360"/>
        <w:textAlignment w:val="baseline"/>
        <w:rPr>
          <w:rFonts w:eastAsia="Times New Roman" w:cstheme="minorHAnsi"/>
          <w:color w:val="000000" w:themeColor="text1"/>
        </w:rPr>
      </w:pPr>
      <w:r>
        <w:rPr>
          <w:rFonts w:eastAsia="Times New Roman" w:cstheme="minorHAnsi"/>
          <w:color w:val="000000" w:themeColor="text1"/>
        </w:rPr>
        <w:t>In addition, fellows may practice in their core specialty subject to the same requirements outlines for stage 2.</w:t>
      </w:r>
    </w:p>
    <w:p w14:paraId="54195C53" w14:textId="77777777" w:rsidR="00B23594" w:rsidRDefault="00B23594" w:rsidP="00066FB4">
      <w:pPr>
        <w:shd w:val="clear" w:color="auto" w:fill="FFFFFF"/>
        <w:spacing w:line="360" w:lineRule="atLeast"/>
        <w:textAlignment w:val="baseline"/>
        <w:rPr>
          <w:rFonts w:eastAsia="Times New Roman" w:cstheme="minorHAnsi"/>
          <w:b/>
          <w:bCs/>
          <w:color w:val="000000" w:themeColor="text1"/>
          <w:bdr w:val="none" w:sz="0" w:space="0" w:color="auto" w:frame="1"/>
        </w:rPr>
      </w:pPr>
    </w:p>
    <w:p w14:paraId="2FA027E4" w14:textId="77777777" w:rsidR="00066FB4" w:rsidRPr="00066FB4" w:rsidRDefault="00066FB4" w:rsidP="00E2492A">
      <w:pPr>
        <w:shd w:val="clear" w:color="auto" w:fill="FFFFFF"/>
        <w:spacing w:after="270" w:line="360" w:lineRule="atLeast"/>
        <w:ind w:left="360"/>
        <w:textAlignment w:val="baseline"/>
        <w:rPr>
          <w:rFonts w:eastAsia="Times New Roman" w:cstheme="minorHAnsi"/>
          <w:b/>
          <w:bCs/>
          <w:color w:val="000000" w:themeColor="text1"/>
        </w:rPr>
      </w:pPr>
      <w:r w:rsidRPr="00066FB4">
        <w:rPr>
          <w:rFonts w:eastAsia="Times New Roman" w:cstheme="minorHAnsi"/>
          <w:b/>
          <w:bCs/>
          <w:color w:val="000000" w:themeColor="text1"/>
        </w:rPr>
        <w:t>All other Common Program Requirements and specialty-specific Program Requirements are suspended during the time of the declaration.</w:t>
      </w:r>
    </w:p>
    <w:p w14:paraId="2E272242" w14:textId="3A824001" w:rsidR="00066FB4" w:rsidRPr="00E2492A" w:rsidRDefault="00066FB4" w:rsidP="00066FB4">
      <w:pPr>
        <w:shd w:val="clear" w:color="auto" w:fill="FFFFFF"/>
        <w:spacing w:after="270" w:line="360" w:lineRule="atLeast"/>
        <w:textAlignment w:val="baseline"/>
        <w:rPr>
          <w:rFonts w:eastAsia="Times New Roman" w:cstheme="minorHAnsi"/>
          <w:color w:val="000000" w:themeColor="text1"/>
        </w:rPr>
      </w:pPr>
      <w:r w:rsidRPr="00066FB4">
        <w:rPr>
          <w:rFonts w:eastAsia="Times New Roman" w:cstheme="minorHAnsi"/>
          <w:color w:val="000000" w:themeColor="text1"/>
        </w:rPr>
        <w:t>Abuse of residents, use of residents in areas in which they do not have the knowledge and skills to provide the services demanded, or failure to comply with any of the above four expectations may result in ACGME intervention.</w:t>
      </w:r>
    </w:p>
    <w:p w14:paraId="00D0CEC3" w14:textId="77777777" w:rsidR="00E2492A" w:rsidRPr="00E2492A" w:rsidRDefault="00E2492A" w:rsidP="00E2492A">
      <w:pPr>
        <w:shd w:val="clear" w:color="auto" w:fill="FFFFFF"/>
        <w:rPr>
          <w:rFonts w:eastAsia="Times New Roman" w:cstheme="minorHAnsi"/>
          <w:color w:val="000000" w:themeColor="text1"/>
        </w:rPr>
      </w:pPr>
      <w:r w:rsidRPr="00E2492A">
        <w:rPr>
          <w:rFonts w:eastAsia="Times New Roman" w:cstheme="minorHAnsi"/>
          <w:b/>
          <w:bCs/>
          <w:color w:val="000000" w:themeColor="text1"/>
        </w:rPr>
        <w:t>No tolerance for discrimination</w:t>
      </w:r>
    </w:p>
    <w:p w14:paraId="5816965B" w14:textId="77777777" w:rsidR="00E2492A" w:rsidRDefault="00E2492A" w:rsidP="00E2492A">
      <w:pPr>
        <w:shd w:val="clear" w:color="auto" w:fill="FFFFFF"/>
        <w:rPr>
          <w:rFonts w:eastAsia="Times New Roman" w:cstheme="minorHAnsi"/>
          <w:color w:val="000000" w:themeColor="text1"/>
        </w:rPr>
      </w:pPr>
    </w:p>
    <w:p w14:paraId="2FFA160B" w14:textId="45974336" w:rsidR="00066FB4" w:rsidRPr="00F36BC9" w:rsidRDefault="00E2492A" w:rsidP="00F36BC9">
      <w:pPr>
        <w:shd w:val="clear" w:color="auto" w:fill="FFFFFF"/>
        <w:rPr>
          <w:rFonts w:eastAsia="Times New Roman" w:cstheme="minorHAnsi"/>
          <w:color w:val="000000" w:themeColor="text1"/>
        </w:rPr>
      </w:pPr>
      <w:r w:rsidRPr="00E2492A">
        <w:rPr>
          <w:rFonts w:eastAsia="Times New Roman" w:cstheme="minorHAnsi"/>
          <w:color w:val="000000" w:themeColor="text1"/>
        </w:rPr>
        <w:t>Since the outbreak of the novel coronavirus COVID-19, first detected in China, Asian members of our community continue to experience profiling and targeting especially on social media and in public commentary. This racism, rooted in fear and misinformation, is hurtful, unacceptable and contrary to our values. As we embrace the challenges ahead of us, share your support with friends and colleagues. Treat everyone with kindness and respect. Together, we will care for each other and our patients</w:t>
      </w:r>
      <w:r w:rsidR="00F36BC9">
        <w:rPr>
          <w:rFonts w:eastAsia="Times New Roman" w:cstheme="minorHAnsi"/>
          <w:color w:val="000000" w:themeColor="text1"/>
        </w:rPr>
        <w:t>.</w:t>
      </w:r>
    </w:p>
    <w:sectPr w:rsidR="00066FB4" w:rsidRPr="00F36BC9" w:rsidSect="003A0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519"/>
    <w:multiLevelType w:val="hybridMultilevel"/>
    <w:tmpl w:val="8B56C8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0B5697A"/>
    <w:multiLevelType w:val="multilevel"/>
    <w:tmpl w:val="FC6A376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50842B6C"/>
    <w:multiLevelType w:val="multilevel"/>
    <w:tmpl w:val="331037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696C67"/>
    <w:multiLevelType w:val="hybridMultilevel"/>
    <w:tmpl w:val="11F07E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C7879E3"/>
    <w:multiLevelType w:val="multilevel"/>
    <w:tmpl w:val="8664268C"/>
    <w:lvl w:ilvl="0">
      <w:start w:val="1"/>
      <w:numFmt w:val="lowerLetter"/>
      <w:lvlText w:val="%1."/>
      <w:lvlJc w:val="left"/>
      <w:pPr>
        <w:tabs>
          <w:tab w:val="num" w:pos="930"/>
        </w:tabs>
        <w:ind w:left="930" w:hanging="360"/>
      </w:pPr>
    </w:lvl>
    <w:lvl w:ilvl="1" w:tentative="1">
      <w:start w:val="1"/>
      <w:numFmt w:val="lowerLetter"/>
      <w:lvlText w:val="%2."/>
      <w:lvlJc w:val="left"/>
      <w:pPr>
        <w:tabs>
          <w:tab w:val="num" w:pos="1650"/>
        </w:tabs>
        <w:ind w:left="1650" w:hanging="360"/>
      </w:pPr>
    </w:lvl>
    <w:lvl w:ilvl="2" w:tentative="1">
      <w:start w:val="1"/>
      <w:numFmt w:val="lowerLetter"/>
      <w:lvlText w:val="%3."/>
      <w:lvlJc w:val="left"/>
      <w:pPr>
        <w:tabs>
          <w:tab w:val="num" w:pos="2370"/>
        </w:tabs>
        <w:ind w:left="2370" w:hanging="360"/>
      </w:pPr>
    </w:lvl>
    <w:lvl w:ilvl="3" w:tentative="1">
      <w:start w:val="1"/>
      <w:numFmt w:val="lowerLetter"/>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Letter"/>
      <w:lvlText w:val="%6."/>
      <w:lvlJc w:val="left"/>
      <w:pPr>
        <w:tabs>
          <w:tab w:val="num" w:pos="4530"/>
        </w:tabs>
        <w:ind w:left="4530" w:hanging="360"/>
      </w:pPr>
    </w:lvl>
    <w:lvl w:ilvl="6" w:tentative="1">
      <w:start w:val="1"/>
      <w:numFmt w:val="lowerLetter"/>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Letter"/>
      <w:lvlText w:val="%9."/>
      <w:lvlJc w:val="left"/>
      <w:pPr>
        <w:tabs>
          <w:tab w:val="num" w:pos="6690"/>
        </w:tabs>
        <w:ind w:left="669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B4"/>
    <w:rsid w:val="00066FB4"/>
    <w:rsid w:val="003A065B"/>
    <w:rsid w:val="00B23594"/>
    <w:rsid w:val="00E2492A"/>
    <w:rsid w:val="00F36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AB97C4"/>
  <w15:chartTrackingRefBased/>
  <w15:docId w15:val="{C68AFA0D-E1AB-D242-A0EE-F5A8B301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6FB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66FB4"/>
    <w:rPr>
      <w:b/>
      <w:bCs/>
    </w:rPr>
  </w:style>
  <w:style w:type="character" w:styleId="Hyperlink">
    <w:name w:val="Hyperlink"/>
    <w:basedOn w:val="DefaultParagraphFont"/>
    <w:uiPriority w:val="99"/>
    <w:unhideWhenUsed/>
    <w:rsid w:val="00066FB4"/>
    <w:rPr>
      <w:color w:val="0000FF"/>
      <w:u w:val="single"/>
    </w:rPr>
  </w:style>
  <w:style w:type="paragraph" w:styleId="ListParagraph">
    <w:name w:val="List Paragraph"/>
    <w:basedOn w:val="Normal"/>
    <w:uiPriority w:val="34"/>
    <w:qFormat/>
    <w:rsid w:val="00B23594"/>
    <w:pPr>
      <w:ind w:left="720"/>
      <w:contextualSpacing/>
    </w:pPr>
  </w:style>
  <w:style w:type="character" w:styleId="UnresolvedMention">
    <w:name w:val="Unresolved Mention"/>
    <w:basedOn w:val="DefaultParagraphFont"/>
    <w:uiPriority w:val="99"/>
    <w:semiHidden/>
    <w:unhideWhenUsed/>
    <w:rsid w:val="00B23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260">
      <w:bodyDiv w:val="1"/>
      <w:marLeft w:val="0"/>
      <w:marRight w:val="0"/>
      <w:marTop w:val="0"/>
      <w:marBottom w:val="0"/>
      <w:divBdr>
        <w:top w:val="none" w:sz="0" w:space="0" w:color="auto"/>
        <w:left w:val="none" w:sz="0" w:space="0" w:color="auto"/>
        <w:bottom w:val="none" w:sz="0" w:space="0" w:color="auto"/>
        <w:right w:val="none" w:sz="0" w:space="0" w:color="auto"/>
      </w:divBdr>
      <w:divsChild>
        <w:div w:id="1152331992">
          <w:marLeft w:val="0"/>
          <w:marRight w:val="0"/>
          <w:marTop w:val="280"/>
          <w:marBottom w:val="280"/>
          <w:divBdr>
            <w:top w:val="none" w:sz="0" w:space="0" w:color="auto"/>
            <w:left w:val="none" w:sz="0" w:space="0" w:color="auto"/>
            <w:bottom w:val="none" w:sz="0" w:space="0" w:color="auto"/>
            <w:right w:val="none" w:sz="0" w:space="0" w:color="auto"/>
          </w:divBdr>
        </w:div>
        <w:div w:id="1990554425">
          <w:marLeft w:val="0"/>
          <w:marRight w:val="0"/>
          <w:marTop w:val="0"/>
          <w:marBottom w:val="150"/>
          <w:divBdr>
            <w:top w:val="none" w:sz="0" w:space="0" w:color="auto"/>
            <w:left w:val="none" w:sz="0" w:space="0" w:color="auto"/>
            <w:bottom w:val="none" w:sz="0" w:space="0" w:color="auto"/>
            <w:right w:val="none" w:sz="0" w:space="0" w:color="auto"/>
          </w:divBdr>
        </w:div>
      </w:divsChild>
    </w:div>
    <w:div w:id="54396578">
      <w:bodyDiv w:val="1"/>
      <w:marLeft w:val="0"/>
      <w:marRight w:val="0"/>
      <w:marTop w:val="0"/>
      <w:marBottom w:val="0"/>
      <w:divBdr>
        <w:top w:val="none" w:sz="0" w:space="0" w:color="auto"/>
        <w:left w:val="none" w:sz="0" w:space="0" w:color="auto"/>
        <w:bottom w:val="none" w:sz="0" w:space="0" w:color="auto"/>
        <w:right w:val="none" w:sz="0" w:space="0" w:color="auto"/>
      </w:divBdr>
    </w:div>
    <w:div w:id="252325224">
      <w:bodyDiv w:val="1"/>
      <w:marLeft w:val="0"/>
      <w:marRight w:val="0"/>
      <w:marTop w:val="0"/>
      <w:marBottom w:val="0"/>
      <w:divBdr>
        <w:top w:val="none" w:sz="0" w:space="0" w:color="auto"/>
        <w:left w:val="none" w:sz="0" w:space="0" w:color="auto"/>
        <w:bottom w:val="none" w:sz="0" w:space="0" w:color="auto"/>
        <w:right w:val="none" w:sz="0" w:space="0" w:color="auto"/>
      </w:divBdr>
      <w:divsChild>
        <w:div w:id="404300619">
          <w:marLeft w:val="600"/>
          <w:marRight w:val="0"/>
          <w:marTop w:val="0"/>
          <w:marBottom w:val="0"/>
          <w:divBdr>
            <w:top w:val="none" w:sz="0" w:space="0" w:color="auto"/>
            <w:left w:val="none" w:sz="0" w:space="0" w:color="auto"/>
            <w:bottom w:val="none" w:sz="0" w:space="0" w:color="auto"/>
            <w:right w:val="none" w:sz="0" w:space="0" w:color="auto"/>
          </w:divBdr>
        </w:div>
      </w:divsChild>
    </w:div>
    <w:div w:id="306446365">
      <w:bodyDiv w:val="1"/>
      <w:marLeft w:val="0"/>
      <w:marRight w:val="0"/>
      <w:marTop w:val="0"/>
      <w:marBottom w:val="0"/>
      <w:divBdr>
        <w:top w:val="none" w:sz="0" w:space="0" w:color="auto"/>
        <w:left w:val="none" w:sz="0" w:space="0" w:color="auto"/>
        <w:bottom w:val="none" w:sz="0" w:space="0" w:color="auto"/>
        <w:right w:val="none" w:sz="0" w:space="0" w:color="auto"/>
      </w:divBdr>
    </w:div>
    <w:div w:id="9430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o@acgme.org" TargetMode="External"/><Relationship Id="rId5" Type="http://schemas.openxmlformats.org/officeDocument/2006/relationships/hyperlink" Target="https://acgme.org/COVID-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Brasel</dc:creator>
  <cp:keywords/>
  <dc:description/>
  <cp:lastModifiedBy>Karen Brasel</cp:lastModifiedBy>
  <cp:revision>2</cp:revision>
  <dcterms:created xsi:type="dcterms:W3CDTF">2020-04-07T15:33:00Z</dcterms:created>
  <dcterms:modified xsi:type="dcterms:W3CDTF">2020-04-07T16:02:00Z</dcterms:modified>
</cp:coreProperties>
</file>