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41591" w14:textId="77777777" w:rsidR="004C5B94" w:rsidRDefault="00871887" w:rsidP="002629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PROPOSAL FOR MULTI-INSTITUTIONAL </w:t>
      </w:r>
      <w:r w:rsidR="002629EE" w:rsidRPr="002629EE">
        <w:rPr>
          <w:rFonts w:ascii="Times New Roman" w:hAnsi="Times New Roman" w:cs="Times New Roman"/>
          <w:b/>
          <w:sz w:val="24"/>
          <w:szCs w:val="24"/>
          <w:u w:val="single"/>
        </w:rPr>
        <w:t>IMPLEMENTATION OF THE BRAIN INJURY GUIDELINES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BD5F4E0" w14:textId="410A6B3C" w:rsidR="00F365A7" w:rsidRDefault="00F365A7" w:rsidP="004B42A3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AIM:</w:t>
      </w:r>
      <w:r w:rsidRPr="00F365A7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>
        <w:rPr>
          <w:rFonts w:ascii="Times New Roman" w:hAnsi="Times New Roman" w:cs="Times New Roman"/>
          <w:bCs/>
          <w:sz w:val="24"/>
          <w:szCs w:val="24"/>
        </w:rPr>
        <w:t>aim of thi</w:t>
      </w:r>
      <w:r w:rsidR="00B52365">
        <w:rPr>
          <w:rFonts w:ascii="Times New Roman" w:hAnsi="Times New Roman" w:cs="Times New Roman"/>
          <w:bCs/>
          <w:sz w:val="24"/>
          <w:szCs w:val="24"/>
        </w:rPr>
        <w:t>s project is to perform a multi-</w:t>
      </w:r>
      <w:r>
        <w:rPr>
          <w:rFonts w:ascii="Times New Roman" w:hAnsi="Times New Roman" w:cs="Times New Roman"/>
          <w:bCs/>
          <w:sz w:val="24"/>
          <w:szCs w:val="24"/>
        </w:rPr>
        <w:t xml:space="preserve">institutional prospective observational study </w:t>
      </w:r>
      <w:r w:rsidR="004B42A3">
        <w:rPr>
          <w:rFonts w:ascii="Times New Roman" w:hAnsi="Times New Roman" w:cs="Times New Roman"/>
          <w:bCs/>
          <w:sz w:val="24"/>
          <w:szCs w:val="24"/>
        </w:rPr>
        <w:t>to validate</w:t>
      </w:r>
      <w:r>
        <w:rPr>
          <w:rFonts w:ascii="Times New Roman" w:hAnsi="Times New Roman" w:cs="Times New Roman"/>
          <w:bCs/>
          <w:sz w:val="24"/>
          <w:szCs w:val="24"/>
        </w:rPr>
        <w:t xml:space="preserve"> Brain Injury G</w:t>
      </w:r>
      <w:r w:rsidR="004B42A3">
        <w:rPr>
          <w:rFonts w:ascii="Times New Roman" w:hAnsi="Times New Roman" w:cs="Times New Roman"/>
          <w:bCs/>
          <w:sz w:val="24"/>
          <w:szCs w:val="24"/>
        </w:rPr>
        <w:t xml:space="preserve">uidelines </w:t>
      </w:r>
      <w:r>
        <w:rPr>
          <w:rFonts w:ascii="Times New Roman" w:hAnsi="Times New Roman" w:cs="Times New Roman"/>
          <w:bCs/>
          <w:sz w:val="24"/>
          <w:szCs w:val="24"/>
        </w:rPr>
        <w:t>developed at a single institution to reduce resource utilization (i.e. neurosurgical consultation and repeat head CT scan) without impacting clinical outc</w:t>
      </w:r>
      <w:r w:rsidR="004B42A3">
        <w:rPr>
          <w:rFonts w:ascii="Times New Roman" w:hAnsi="Times New Roman" w:cs="Times New Roman"/>
          <w:bCs/>
          <w:sz w:val="24"/>
          <w:szCs w:val="24"/>
        </w:rPr>
        <w:t>omes in traumatic brain injury patients with i</w:t>
      </w:r>
      <w:r>
        <w:rPr>
          <w:rFonts w:ascii="Times New Roman" w:hAnsi="Times New Roman" w:cs="Times New Roman"/>
          <w:bCs/>
          <w:sz w:val="24"/>
          <w:szCs w:val="24"/>
        </w:rPr>
        <w:t xml:space="preserve">ntracranial hemorrhage. </w:t>
      </w:r>
    </w:p>
    <w:p w14:paraId="0AE58295" w14:textId="77777777" w:rsidR="00F365A7" w:rsidRDefault="00F365A7" w:rsidP="00F365A7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BC4F71" w14:textId="77777777" w:rsidR="002629EE" w:rsidRPr="00871887" w:rsidRDefault="002629EE" w:rsidP="002629E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</w:pPr>
      <w:r w:rsidRPr="00871887">
        <w:rPr>
          <w:rFonts w:ascii="Times New Roman" w:hAnsi="Times New Roman" w:cs="Times New Roman"/>
          <w:b/>
          <w:sz w:val="24"/>
          <w:szCs w:val="24"/>
          <w:u w:val="single"/>
        </w:rPr>
        <w:t>INTRODUCTION:</w:t>
      </w:r>
      <w:r w:rsidRPr="00871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887">
        <w:rPr>
          <w:rFonts w:ascii="Times New Roman" w:hAnsi="Times New Roman" w:cs="Times New Roman"/>
          <w:bCs/>
          <w:kern w:val="28"/>
          <w:sz w:val="24"/>
          <w:szCs w:val="24"/>
        </w:rPr>
        <w:t>Traumatic Brain Injury (TBI) is an important clinical entity in acute care surgery without</w:t>
      </w:r>
      <w:r w:rsidRPr="00871887" w:rsidDel="00A32CBB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871887">
        <w:rPr>
          <w:rFonts w:ascii="Times New Roman" w:hAnsi="Times New Roman" w:cs="Times New Roman"/>
          <w:bCs/>
          <w:kern w:val="28"/>
          <w:sz w:val="24"/>
          <w:szCs w:val="24"/>
        </w:rPr>
        <w:t xml:space="preserve">well-defined guidelines for diagnosis and evaluation. The Emergency Department (ED) sees more than 1 million visits for traumatic brain injury annually, majority of which are characterized as “mild” TBI not requiring an immediate neurosurgical intervention. </w:t>
      </w:r>
      <w:r w:rsidRPr="00871887"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>1,2</w:t>
      </w:r>
      <w:r w:rsidR="00871887" w:rsidRPr="00871887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871887">
        <w:rPr>
          <w:rFonts w:ascii="Times New Roman" w:hAnsi="Times New Roman" w:cs="Times New Roman"/>
          <w:bCs/>
          <w:kern w:val="28"/>
          <w:sz w:val="24"/>
          <w:szCs w:val="24"/>
        </w:rPr>
        <w:t>The current treatment plan for an intracranial hemorrhage (ICH) is an initial head computed tomography (CT) followed by series of repeat head CTs (RHCT) and a mandatory neurosurgical consultation.</w:t>
      </w:r>
      <w:r w:rsidR="00871887" w:rsidRPr="00871887"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>3-6</w:t>
      </w:r>
      <w:r w:rsidRPr="00871887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871887">
        <w:rPr>
          <w:rFonts w:ascii="Times New Roman" w:hAnsi="Times New Roman" w:cs="Times New Roman"/>
          <w:sz w:val="24"/>
          <w:szCs w:val="24"/>
        </w:rPr>
        <w:t>However, this current standard of consulting neurosurgery on every TBI patient with an Intra-cranial hemorrhage (ICH) is changing.</w:t>
      </w:r>
      <w:r w:rsidR="00871887" w:rsidRPr="00871887">
        <w:rPr>
          <w:rFonts w:ascii="Times New Roman" w:hAnsi="Times New Roman" w:cs="Times New Roman"/>
          <w:sz w:val="24"/>
          <w:szCs w:val="24"/>
          <w:vertAlign w:val="superscript"/>
        </w:rPr>
        <w:t>3-6</w:t>
      </w:r>
      <w:r w:rsidRPr="00871887">
        <w:rPr>
          <w:rFonts w:ascii="Times New Roman" w:hAnsi="Times New Roman" w:cs="Times New Roman"/>
          <w:sz w:val="24"/>
          <w:szCs w:val="24"/>
        </w:rPr>
        <w:t xml:space="preserve"> Additionally, the use of repeat head CT scan for all TBI is being questioned with recent studies demonstrating use of RHCT only in non-examinable patients.</w:t>
      </w:r>
      <w:r w:rsidR="00871887">
        <w:rPr>
          <w:rFonts w:ascii="Times New Roman" w:hAnsi="Times New Roman" w:cs="Times New Roman"/>
          <w:sz w:val="24"/>
          <w:szCs w:val="24"/>
          <w:vertAlign w:val="superscript"/>
        </w:rPr>
        <w:t>7-9</w:t>
      </w:r>
    </w:p>
    <w:p w14:paraId="2E406DE1" w14:textId="400038E0" w:rsidR="002629EE" w:rsidRDefault="00871887" w:rsidP="002629EE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29EE" w:rsidRPr="00871887">
        <w:rPr>
          <w:rFonts w:ascii="Times New Roman" w:hAnsi="Times New Roman" w:cs="Times New Roman"/>
          <w:sz w:val="24"/>
          <w:szCs w:val="24"/>
        </w:rPr>
        <w:t>We performed a retrospective study and formed the Brain Injury Guidelines with collaboration with the neurosurgeons at our institution for the acute management of TBI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9EE" w:rsidRPr="00871887">
        <w:rPr>
          <w:rFonts w:ascii="Times New Roman" w:hAnsi="Times New Roman" w:cs="Times New Roman"/>
          <w:b/>
          <w:sz w:val="24"/>
          <w:szCs w:val="24"/>
        </w:rPr>
        <w:t>(Figure 1)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9EE" w:rsidRPr="00871887">
        <w:rPr>
          <w:rFonts w:ascii="Times New Roman" w:hAnsi="Times New Roman" w:cs="Times New Roman"/>
          <w:sz w:val="24"/>
          <w:szCs w:val="24"/>
        </w:rPr>
        <w:t xml:space="preserve">We defined an optimal therapeutic plan for the management of TBI based on the patient history, physical examination, and head computed topographic scan finding.  </w:t>
      </w:r>
      <w:r w:rsidR="00AD710D">
        <w:rPr>
          <w:rFonts w:ascii="Times New Roman" w:hAnsi="Times New Roman" w:cs="Times New Roman"/>
          <w:sz w:val="24"/>
          <w:szCs w:val="24"/>
        </w:rPr>
        <w:t xml:space="preserve">In a retrospective review of matched cohort of patients we </w:t>
      </w:r>
      <w:r w:rsidR="00AD710D" w:rsidRPr="00871887">
        <w:rPr>
          <w:rFonts w:ascii="Times New Roman" w:hAnsi="Times New Roman" w:cs="Times New Roman"/>
          <w:sz w:val="24"/>
          <w:szCs w:val="24"/>
        </w:rPr>
        <w:t xml:space="preserve">demonstrated </w:t>
      </w:r>
      <w:r w:rsidR="00AD710D">
        <w:rPr>
          <w:rFonts w:ascii="Times New Roman" w:hAnsi="Times New Roman" w:cs="Times New Roman"/>
          <w:sz w:val="24"/>
          <w:szCs w:val="24"/>
        </w:rPr>
        <w:t xml:space="preserve">acute care surgeons can independently manage patients with mild TBI and ICH without a neurosurgical consultation. </w:t>
      </w:r>
      <w:r w:rsidR="00AD710D" w:rsidRPr="0087188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AD710D" w:rsidRPr="00871887">
        <w:rPr>
          <w:rFonts w:ascii="Times New Roman" w:hAnsi="Times New Roman" w:cs="Times New Roman"/>
          <w:sz w:val="24"/>
          <w:szCs w:val="24"/>
        </w:rPr>
        <w:t xml:space="preserve"> </w:t>
      </w:r>
      <w:r w:rsidR="00AD710D">
        <w:rPr>
          <w:rFonts w:ascii="Times New Roman" w:hAnsi="Times New Roman" w:cs="Times New Roman"/>
          <w:sz w:val="24"/>
          <w:szCs w:val="24"/>
        </w:rPr>
        <w:t xml:space="preserve">We implemented BIG guidelines at our institution in March 2012. We prospectively evaluated the implementation of BIG 1 category and found that, implementation of BIG 1 category </w:t>
      </w:r>
      <w:r w:rsidR="00AD710D">
        <w:rPr>
          <w:rFonts w:ascii="Times New Roman" w:eastAsia="Calibri" w:hAnsi="Times New Roman"/>
          <w:bCs/>
          <w:sz w:val="24"/>
          <w:szCs w:val="24"/>
        </w:rPr>
        <w:t>allows for better clinical and hospital resource utilization.</w:t>
      </w:r>
      <w:r w:rsidR="00AD710D" w:rsidRPr="00AD710D">
        <w:rPr>
          <w:rFonts w:ascii="Times New Roman" w:eastAsia="Calibri" w:hAnsi="Times New Roman"/>
          <w:bCs/>
          <w:sz w:val="24"/>
          <w:szCs w:val="24"/>
          <w:vertAlign w:val="superscript"/>
        </w:rPr>
        <w:t>11</w:t>
      </w:r>
      <w:r w:rsidR="00AD710D">
        <w:rPr>
          <w:rFonts w:ascii="Times New Roman" w:eastAsia="Calibri" w:hAnsi="Times New Roman"/>
          <w:bCs/>
          <w:sz w:val="24"/>
          <w:szCs w:val="24"/>
        </w:rPr>
        <w:t xml:space="preserve"> Additionally, a</w:t>
      </w:r>
      <w:r w:rsidR="00AD710D">
        <w:rPr>
          <w:rFonts w:ascii="Times New Roman" w:eastAsia="Calibri" w:hAnsi="Times New Roman"/>
          <w:sz w:val="24"/>
          <w:szCs w:val="24"/>
        </w:rPr>
        <w:t>cute care surgeons were</w:t>
      </w:r>
      <w:r w:rsidR="00AD710D" w:rsidRPr="003752A1">
        <w:rPr>
          <w:rFonts w:ascii="Times New Roman" w:eastAsia="Calibri" w:hAnsi="Times New Roman"/>
          <w:sz w:val="24"/>
          <w:szCs w:val="24"/>
        </w:rPr>
        <w:t xml:space="preserve"> </w:t>
      </w:r>
      <w:r w:rsidR="00AD710D">
        <w:rPr>
          <w:rFonts w:ascii="Times New Roman" w:eastAsia="Calibri" w:hAnsi="Times New Roman"/>
          <w:sz w:val="24"/>
          <w:szCs w:val="24"/>
        </w:rPr>
        <w:t xml:space="preserve">able to </w:t>
      </w:r>
      <w:r w:rsidR="00AD710D" w:rsidRPr="003752A1">
        <w:rPr>
          <w:rFonts w:ascii="Times New Roman" w:eastAsia="Calibri" w:hAnsi="Times New Roman"/>
          <w:sz w:val="24"/>
          <w:szCs w:val="24"/>
        </w:rPr>
        <w:t xml:space="preserve">independently care for patients with </w:t>
      </w:r>
      <w:r w:rsidR="00AD710D">
        <w:rPr>
          <w:rFonts w:ascii="Times New Roman" w:eastAsia="Calibri" w:hAnsi="Times New Roman"/>
          <w:sz w:val="24"/>
          <w:szCs w:val="24"/>
        </w:rPr>
        <w:t xml:space="preserve">ICH &lt;4 mm (BIG 1 category) </w:t>
      </w:r>
      <w:r w:rsidR="00AD710D" w:rsidRPr="003752A1">
        <w:rPr>
          <w:rFonts w:ascii="Times New Roman" w:eastAsia="Calibri" w:hAnsi="Times New Roman"/>
          <w:sz w:val="24"/>
          <w:szCs w:val="24"/>
        </w:rPr>
        <w:t xml:space="preserve">without </w:t>
      </w:r>
      <w:r w:rsidR="00AD710D">
        <w:rPr>
          <w:rFonts w:ascii="Times New Roman" w:eastAsia="Calibri" w:hAnsi="Times New Roman"/>
          <w:sz w:val="24"/>
          <w:szCs w:val="24"/>
        </w:rPr>
        <w:t xml:space="preserve">the need for </w:t>
      </w:r>
      <w:r w:rsidR="00AD710D" w:rsidRPr="003752A1">
        <w:rPr>
          <w:rFonts w:ascii="Times New Roman" w:eastAsia="Calibri" w:hAnsi="Times New Roman"/>
          <w:sz w:val="24"/>
          <w:szCs w:val="24"/>
        </w:rPr>
        <w:t>in-patient neurosurgical consultation</w:t>
      </w:r>
      <w:r w:rsidR="00607995">
        <w:rPr>
          <w:rFonts w:ascii="Times New Roman" w:eastAsia="Calibri" w:hAnsi="Times New Roman"/>
          <w:sz w:val="24"/>
          <w:szCs w:val="24"/>
        </w:rPr>
        <w:t xml:space="preserve">. </w:t>
      </w:r>
      <w:r w:rsidR="00D119D0" w:rsidRPr="001C7039">
        <w:rPr>
          <w:rFonts w:ascii="Times New Roman" w:eastAsia="Calibri" w:hAnsi="Times New Roman"/>
          <w:sz w:val="24"/>
          <w:szCs w:val="24"/>
        </w:rPr>
        <w:t>To validate</w:t>
      </w:r>
      <w:r w:rsidR="006054A1" w:rsidRPr="001C7039">
        <w:rPr>
          <w:rFonts w:ascii="Times New Roman" w:eastAsia="Calibri" w:hAnsi="Times New Roman"/>
          <w:sz w:val="24"/>
          <w:szCs w:val="24"/>
        </w:rPr>
        <w:t xml:space="preserve"> and compare the safety and utility of our guidelines, </w:t>
      </w:r>
      <w:r w:rsidR="006054A1" w:rsidRPr="001C7039">
        <w:rPr>
          <w:rFonts w:ascii="Times New Roman" w:hAnsi="Times New Roman" w:cs="Times New Roman"/>
          <w:sz w:val="24"/>
          <w:szCs w:val="24"/>
        </w:rPr>
        <w:t>w</w:t>
      </w:r>
      <w:r w:rsidR="002629EE" w:rsidRPr="001C7039">
        <w:rPr>
          <w:rFonts w:ascii="Times New Roman" w:hAnsi="Times New Roman" w:cs="Times New Roman"/>
          <w:sz w:val="24"/>
          <w:szCs w:val="24"/>
        </w:rPr>
        <w:t xml:space="preserve">e plan to </w:t>
      </w:r>
      <w:r w:rsidR="00D826C7" w:rsidRPr="001C7039">
        <w:rPr>
          <w:rFonts w:ascii="Times New Roman" w:hAnsi="Times New Roman" w:cs="Times New Roman"/>
          <w:sz w:val="24"/>
          <w:szCs w:val="24"/>
        </w:rPr>
        <w:t>perform a prospective observational study to analyze the outcome</w:t>
      </w:r>
      <w:r w:rsidR="00F30DF9" w:rsidRPr="001C7039">
        <w:rPr>
          <w:rFonts w:ascii="Times New Roman" w:hAnsi="Times New Roman" w:cs="Times New Roman"/>
          <w:sz w:val="24"/>
          <w:szCs w:val="24"/>
        </w:rPr>
        <w:t>s</w:t>
      </w:r>
      <w:r w:rsidR="00D826C7" w:rsidRPr="001C7039">
        <w:rPr>
          <w:rFonts w:ascii="Times New Roman" w:hAnsi="Times New Roman" w:cs="Times New Roman"/>
          <w:sz w:val="24"/>
          <w:szCs w:val="24"/>
        </w:rPr>
        <w:t xml:space="preserve"> </w:t>
      </w:r>
      <w:r w:rsidR="00F30DF9" w:rsidRPr="001C7039">
        <w:rPr>
          <w:rFonts w:ascii="Times New Roman" w:hAnsi="Times New Roman" w:cs="Times New Roman"/>
          <w:sz w:val="24"/>
          <w:szCs w:val="24"/>
        </w:rPr>
        <w:t xml:space="preserve">of </w:t>
      </w:r>
      <w:r w:rsidR="00D826C7" w:rsidRPr="001C7039">
        <w:rPr>
          <w:rFonts w:ascii="Times New Roman" w:hAnsi="Times New Roman" w:cs="Times New Roman"/>
          <w:sz w:val="24"/>
          <w:szCs w:val="24"/>
        </w:rPr>
        <w:t xml:space="preserve">the current </w:t>
      </w:r>
      <w:r w:rsidR="00F30DF9" w:rsidRPr="001C7039">
        <w:rPr>
          <w:rFonts w:ascii="Times New Roman" w:hAnsi="Times New Roman" w:cs="Times New Roman"/>
          <w:sz w:val="24"/>
          <w:szCs w:val="24"/>
        </w:rPr>
        <w:t xml:space="preserve">standard of care </w:t>
      </w:r>
      <w:r w:rsidR="00D826C7" w:rsidRPr="001C7039">
        <w:rPr>
          <w:rFonts w:ascii="Times New Roman" w:hAnsi="Times New Roman" w:cs="Times New Roman"/>
          <w:sz w:val="24"/>
          <w:szCs w:val="24"/>
        </w:rPr>
        <w:t xml:space="preserve">for the management of mild TBI with </w:t>
      </w:r>
      <w:r w:rsidR="00D826C7" w:rsidRPr="001C7039">
        <w:rPr>
          <w:rFonts w:ascii="Times New Roman" w:hAnsi="Times New Roman" w:cs="Times New Roman"/>
          <w:sz w:val="24"/>
          <w:szCs w:val="24"/>
        </w:rPr>
        <w:lastRenderedPageBreak/>
        <w:t>small ICH</w:t>
      </w:r>
      <w:r w:rsidR="001C7039">
        <w:rPr>
          <w:rFonts w:ascii="Times New Roman" w:hAnsi="Times New Roman" w:cs="Times New Roman"/>
          <w:sz w:val="24"/>
          <w:szCs w:val="24"/>
        </w:rPr>
        <w:t xml:space="preserve"> at multiple institutions.  The goal will be to collect prospective observational data and than move forward with a prospective implementation at a later time. </w:t>
      </w:r>
    </w:p>
    <w:p w14:paraId="78C423AE" w14:textId="77777777" w:rsidR="00871887" w:rsidRDefault="00871887" w:rsidP="002629EE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799CD57" w14:textId="77777777" w:rsidR="00871887" w:rsidRPr="00871887" w:rsidRDefault="00871887" w:rsidP="002629EE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887">
        <w:rPr>
          <w:rFonts w:ascii="Times New Roman" w:hAnsi="Times New Roman" w:cs="Times New Roman"/>
          <w:b/>
          <w:sz w:val="24"/>
          <w:szCs w:val="24"/>
          <w:u w:val="single"/>
        </w:rPr>
        <w:t>STUDY PROTOCOL</w:t>
      </w:r>
    </w:p>
    <w:p w14:paraId="4BDA9D94" w14:textId="452FE8F7" w:rsidR="00871887" w:rsidRPr="00FA507A" w:rsidRDefault="000C4BDB" w:rsidP="00871887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Times New Roman" w:hAnsi="Times New Roman" w:cs="Times New Roman"/>
          <w:bCs/>
          <w:kern w:val="28"/>
        </w:rPr>
      </w:pPr>
      <w:r>
        <w:rPr>
          <w:rFonts w:ascii="Times New Roman" w:hAnsi="Times New Roman" w:cs="Times New Roman"/>
          <w:bCs/>
          <w:kern w:val="28"/>
        </w:rPr>
        <w:t>P</w:t>
      </w:r>
      <w:r w:rsidR="00871887" w:rsidRPr="00871887">
        <w:rPr>
          <w:rFonts w:ascii="Times New Roman" w:hAnsi="Times New Roman" w:cs="Times New Roman"/>
          <w:bCs/>
          <w:kern w:val="28"/>
        </w:rPr>
        <w:t>atient</w:t>
      </w:r>
      <w:r>
        <w:rPr>
          <w:rFonts w:ascii="Times New Roman" w:hAnsi="Times New Roman" w:cs="Times New Roman"/>
          <w:bCs/>
          <w:kern w:val="28"/>
        </w:rPr>
        <w:t xml:space="preserve">s with </w:t>
      </w:r>
      <w:r w:rsidR="00871887" w:rsidRPr="00871887">
        <w:rPr>
          <w:rFonts w:ascii="Times New Roman" w:hAnsi="Times New Roman" w:cs="Times New Roman"/>
          <w:bCs/>
          <w:kern w:val="28"/>
        </w:rPr>
        <w:t xml:space="preserve">an intra-cranial hemorrhage </w:t>
      </w:r>
      <w:r>
        <w:rPr>
          <w:rFonts w:ascii="Times New Roman" w:hAnsi="Times New Roman" w:cs="Times New Roman"/>
          <w:bCs/>
          <w:kern w:val="28"/>
        </w:rPr>
        <w:t xml:space="preserve">on initial CT </w:t>
      </w:r>
      <w:r w:rsidR="00871887" w:rsidRPr="00871887">
        <w:rPr>
          <w:rFonts w:ascii="Times New Roman" w:hAnsi="Times New Roman" w:cs="Times New Roman"/>
          <w:bCs/>
          <w:kern w:val="28"/>
        </w:rPr>
        <w:t>will be</w:t>
      </w:r>
      <w:r w:rsidR="00FC499B">
        <w:rPr>
          <w:rFonts w:ascii="Times New Roman" w:hAnsi="Times New Roman" w:cs="Times New Roman"/>
          <w:bCs/>
          <w:kern w:val="28"/>
        </w:rPr>
        <w:t xml:space="preserve"> evaluated by the </w:t>
      </w:r>
      <w:r w:rsidR="003760CB">
        <w:rPr>
          <w:rFonts w:ascii="Times New Roman" w:hAnsi="Times New Roman" w:cs="Times New Roman"/>
          <w:bCs/>
          <w:kern w:val="28"/>
        </w:rPr>
        <w:t>trauma team</w:t>
      </w:r>
      <w:r w:rsidR="00871887" w:rsidRPr="00871887">
        <w:rPr>
          <w:rFonts w:ascii="Times New Roman" w:hAnsi="Times New Roman" w:cs="Times New Roman"/>
          <w:bCs/>
          <w:kern w:val="28"/>
        </w:rPr>
        <w:t>.  A detail history will be collected recording the following information:  P</w:t>
      </w:r>
      <w:r w:rsidR="00871887" w:rsidRPr="00871887">
        <w:rPr>
          <w:rFonts w:ascii="Times New Roman" w:eastAsia="Cambria" w:hAnsi="Times New Roman" w:cs="Times New Roman"/>
        </w:rPr>
        <w:t xml:space="preserve">atient </w:t>
      </w:r>
      <w:r w:rsidR="00871887" w:rsidRPr="00871887">
        <w:rPr>
          <w:rFonts w:ascii="Times New Roman" w:hAnsi="Times New Roman" w:cs="Times New Roman"/>
        </w:rPr>
        <w:t xml:space="preserve">demographics (age and sex), patient’s medication history (anti-platelet and anti-coagulation therapy), vitals on presentation, Glasgow Coma Scale on presentation, intoxication (alcohol use), and mechanism of injury. </w:t>
      </w:r>
      <w:r w:rsidR="001C7039">
        <w:rPr>
          <w:rFonts w:ascii="Times New Roman" w:hAnsi="Times New Roman" w:cs="Times New Roman"/>
        </w:rPr>
        <w:t>(see data collection sheet)</w:t>
      </w:r>
    </w:p>
    <w:p w14:paraId="646A77DD" w14:textId="663C5566" w:rsidR="00FA507A" w:rsidRPr="00FA507A" w:rsidRDefault="00FA507A" w:rsidP="00FA50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ascii="Times New Roman" w:eastAsia="Cambria" w:hAnsi="Times New Roman" w:cs="Times New Roman"/>
        </w:rPr>
      </w:pPr>
      <w:r w:rsidRPr="00871887">
        <w:rPr>
          <w:rFonts w:ascii="Times New Roman" w:eastAsia="Cambria" w:hAnsi="Times New Roman" w:cs="Times New Roman"/>
        </w:rPr>
        <w:t xml:space="preserve">Patients </w:t>
      </w:r>
      <w:r>
        <w:rPr>
          <w:rFonts w:ascii="Times New Roman" w:eastAsia="Cambria" w:hAnsi="Times New Roman" w:cs="Times New Roman"/>
        </w:rPr>
        <w:t xml:space="preserve">meeting with </w:t>
      </w:r>
      <w:r w:rsidRPr="00871887">
        <w:rPr>
          <w:rFonts w:ascii="Times New Roman" w:eastAsia="Cambria" w:hAnsi="Times New Roman" w:cs="Times New Roman"/>
        </w:rPr>
        <w:t>normal neurological examination, not on any anti-platelet or anti-coagula</w:t>
      </w:r>
      <w:r>
        <w:rPr>
          <w:rFonts w:ascii="Times New Roman" w:eastAsia="Cambria" w:hAnsi="Times New Roman" w:cs="Times New Roman"/>
        </w:rPr>
        <w:t xml:space="preserve">tion medications, and minuscule </w:t>
      </w:r>
      <w:r w:rsidRPr="00871887">
        <w:rPr>
          <w:rFonts w:ascii="Times New Roman" w:eastAsia="Cambria" w:hAnsi="Times New Roman" w:cs="Times New Roman"/>
        </w:rPr>
        <w:t>findings on initial head CT scan (ICH</w:t>
      </w:r>
      <w:r w:rsidRPr="00871887">
        <w:rPr>
          <w:rFonts w:ascii="Times New Roman" w:eastAsia="Cambria" w:hAnsi="Times New Roman" w:cs="Times New Roman"/>
          <w:u w:val="single"/>
        </w:rPr>
        <w:t>&lt;</w:t>
      </w:r>
      <w:r>
        <w:rPr>
          <w:rFonts w:ascii="Times New Roman" w:eastAsia="Cambria" w:hAnsi="Times New Roman" w:cs="Times New Roman"/>
        </w:rPr>
        <w:t xml:space="preserve">4mm and no skull fracture) will be categorized into the BIG 1 and will be enrolled in the study </w:t>
      </w:r>
      <w:r w:rsidRPr="003760CB">
        <w:rPr>
          <w:rFonts w:ascii="Times New Roman" w:eastAsia="Cambria" w:hAnsi="Times New Roman" w:cs="Times New Roman"/>
          <w:b/>
        </w:rPr>
        <w:t>(Figure1).</w:t>
      </w:r>
    </w:p>
    <w:p w14:paraId="1CDC0B5D" w14:textId="77777777" w:rsidR="000C4BDB" w:rsidRPr="000C4BDB" w:rsidRDefault="00871887" w:rsidP="00871887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Times New Roman" w:hAnsi="Times New Roman" w:cs="Times New Roman"/>
          <w:bCs/>
          <w:kern w:val="28"/>
        </w:rPr>
      </w:pPr>
      <w:r w:rsidRPr="000C4BDB">
        <w:rPr>
          <w:rFonts w:ascii="Times New Roman" w:hAnsi="Times New Roman" w:cs="Times New Roman"/>
        </w:rPr>
        <w:t xml:space="preserve">A </w:t>
      </w:r>
      <w:r w:rsidR="000C4BDB">
        <w:rPr>
          <w:rFonts w:ascii="Times New Roman" w:hAnsi="Times New Roman" w:cs="Times New Roman"/>
        </w:rPr>
        <w:t xml:space="preserve">detail neurological examination will be performed. </w:t>
      </w:r>
      <w:r w:rsidRPr="000C4BDB">
        <w:rPr>
          <w:rFonts w:ascii="Times New Roman" w:hAnsi="Times New Roman" w:cs="Times New Roman"/>
        </w:rPr>
        <w:t xml:space="preserve">Details of neurological examination will be recorded. </w:t>
      </w:r>
      <w:r w:rsidR="000C4BDB">
        <w:rPr>
          <w:rFonts w:ascii="Times New Roman" w:hAnsi="Times New Roman" w:cs="Times New Roman"/>
        </w:rPr>
        <w:t xml:space="preserve">An abnormal neurological examination is defined as </w:t>
      </w:r>
      <w:r w:rsidR="000C4BDB" w:rsidRPr="00F70227">
        <w:rPr>
          <w:rFonts w:ascii="Times New Roman" w:hAnsi="Times New Roman" w:cs="Times New Roman"/>
        </w:rPr>
        <w:t>altered mental status, focal neurological deficits, and abnormal</w:t>
      </w:r>
      <w:r w:rsidR="000C4BDB">
        <w:rPr>
          <w:rFonts w:ascii="Times New Roman" w:hAnsi="Times New Roman" w:cs="Times New Roman"/>
        </w:rPr>
        <w:t xml:space="preserve"> pupillary examination.</w:t>
      </w:r>
    </w:p>
    <w:p w14:paraId="40ACBC09" w14:textId="495B74DA" w:rsidR="000C4BDB" w:rsidRPr="000C4BDB" w:rsidRDefault="009E762E" w:rsidP="00871887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Times New Roman" w:hAnsi="Times New Roman" w:cs="Times New Roman"/>
          <w:bCs/>
          <w:kern w:val="28"/>
        </w:rPr>
      </w:pPr>
      <w:r>
        <w:rPr>
          <w:rFonts w:ascii="Times New Roman" w:hAnsi="Times New Roman" w:cs="Times New Roman"/>
          <w:bCs/>
          <w:kern w:val="28"/>
        </w:rPr>
        <w:t>Findings of</w:t>
      </w:r>
      <w:r w:rsidR="000C4BDB">
        <w:rPr>
          <w:rFonts w:ascii="Times New Roman" w:hAnsi="Times New Roman" w:cs="Times New Roman"/>
          <w:bCs/>
          <w:kern w:val="28"/>
        </w:rPr>
        <w:t xml:space="preserve"> initial h</w:t>
      </w:r>
      <w:r w:rsidR="00104826">
        <w:rPr>
          <w:rFonts w:ascii="Times New Roman" w:hAnsi="Times New Roman" w:cs="Times New Roman"/>
          <w:bCs/>
          <w:kern w:val="28"/>
        </w:rPr>
        <w:t>ead CT scan will be recorded i.e.</w:t>
      </w:r>
      <w:r w:rsidR="000C4BDB">
        <w:rPr>
          <w:rFonts w:ascii="Times New Roman" w:hAnsi="Times New Roman" w:cs="Times New Roman"/>
          <w:bCs/>
          <w:kern w:val="28"/>
        </w:rPr>
        <w:t xml:space="preserve"> size and type of the ICH and/ skull fracture.</w:t>
      </w:r>
    </w:p>
    <w:p w14:paraId="35D2702D" w14:textId="39C06063" w:rsidR="001C2299" w:rsidRDefault="00DC1B63" w:rsidP="00871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P</w:t>
      </w:r>
      <w:r w:rsidR="001C2299">
        <w:rPr>
          <w:rFonts w:ascii="Times New Roman" w:eastAsia="Cambria" w:hAnsi="Times New Roman" w:cs="Times New Roman"/>
        </w:rPr>
        <w:t xml:space="preserve">atients will </w:t>
      </w:r>
      <w:r>
        <w:rPr>
          <w:rFonts w:ascii="Times New Roman" w:eastAsia="Cambria" w:hAnsi="Times New Roman" w:cs="Times New Roman"/>
        </w:rPr>
        <w:t xml:space="preserve">be </w:t>
      </w:r>
      <w:r w:rsidR="001C2299">
        <w:rPr>
          <w:rFonts w:ascii="Times New Roman" w:eastAsia="Cambria" w:hAnsi="Times New Roman" w:cs="Times New Roman"/>
        </w:rPr>
        <w:t>managed according to institutional standard practice of neurological consultation and routine repeat head CT scan.</w:t>
      </w:r>
    </w:p>
    <w:p w14:paraId="2D13563D" w14:textId="5A092558" w:rsidR="0046365C" w:rsidRPr="0046365C" w:rsidRDefault="0046365C" w:rsidP="0046365C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Times New Roman" w:hAnsi="Times New Roman" w:cs="Times New Roman"/>
          <w:bCs/>
          <w:kern w:val="28"/>
        </w:rPr>
      </w:pPr>
      <w:r>
        <w:rPr>
          <w:rFonts w:ascii="Times New Roman" w:hAnsi="Times New Roman" w:cs="Times New Roman"/>
          <w:bCs/>
          <w:kern w:val="28"/>
        </w:rPr>
        <w:t xml:space="preserve">Findings of repeat head CT scans will be recorded i.e. new findings, or worsening of the scan as compared to previous scan. </w:t>
      </w:r>
      <w:r w:rsidR="001C7039">
        <w:rPr>
          <w:rFonts w:ascii="Times New Roman" w:hAnsi="Times New Roman" w:cs="Times New Roman"/>
          <w:bCs/>
          <w:kern w:val="28"/>
        </w:rPr>
        <w:t>Also total number of scans.</w:t>
      </w:r>
    </w:p>
    <w:p w14:paraId="466B2E70" w14:textId="4712C38C" w:rsidR="003760CB" w:rsidRDefault="000C4BDB" w:rsidP="00871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P</w:t>
      </w:r>
      <w:r w:rsidR="00871887" w:rsidRPr="00871887">
        <w:rPr>
          <w:rFonts w:ascii="Times New Roman" w:eastAsia="Cambria" w:hAnsi="Times New Roman" w:cs="Times New Roman"/>
        </w:rPr>
        <w:t>atient</w:t>
      </w:r>
      <w:r>
        <w:rPr>
          <w:rFonts w:ascii="Times New Roman" w:eastAsia="Cambria" w:hAnsi="Times New Roman" w:cs="Times New Roman"/>
        </w:rPr>
        <w:t xml:space="preserve">s will be followed </w:t>
      </w:r>
      <w:r w:rsidR="00871887" w:rsidRPr="00871887">
        <w:rPr>
          <w:rFonts w:ascii="Times New Roman" w:eastAsia="Cambria" w:hAnsi="Times New Roman" w:cs="Times New Roman"/>
        </w:rPr>
        <w:t>during the hospital stay</w:t>
      </w:r>
      <w:r w:rsidR="0042263B">
        <w:rPr>
          <w:rFonts w:ascii="Times New Roman" w:eastAsia="Cambria" w:hAnsi="Times New Roman" w:cs="Times New Roman"/>
        </w:rPr>
        <w:t xml:space="preserve"> and</w:t>
      </w:r>
      <w:r w:rsidR="00DC1B63">
        <w:rPr>
          <w:rFonts w:ascii="Times New Roman" w:eastAsia="Cambria" w:hAnsi="Times New Roman" w:cs="Times New Roman"/>
        </w:rPr>
        <w:t xml:space="preserve"> up to 30-</w:t>
      </w:r>
      <w:r w:rsidR="003760CB">
        <w:rPr>
          <w:rFonts w:ascii="Times New Roman" w:eastAsia="Cambria" w:hAnsi="Times New Roman" w:cs="Times New Roman"/>
        </w:rPr>
        <w:t>days post discharge for readmission rate and need for repeat head CT scan.</w:t>
      </w:r>
    </w:p>
    <w:p w14:paraId="55368612" w14:textId="5EDA98D5" w:rsidR="00871887" w:rsidRDefault="0042263B" w:rsidP="00871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Patients will be </w:t>
      </w:r>
      <w:r w:rsidR="003760CB">
        <w:rPr>
          <w:rFonts w:ascii="Times New Roman" w:eastAsia="Cambria" w:hAnsi="Times New Roman" w:cs="Times New Roman"/>
        </w:rPr>
        <w:t xml:space="preserve">evaluated in the clinic </w:t>
      </w:r>
      <w:r w:rsidR="001C7039">
        <w:rPr>
          <w:rFonts w:ascii="Times New Roman" w:eastAsia="Cambria" w:hAnsi="Times New Roman" w:cs="Times New Roman"/>
        </w:rPr>
        <w:t>within 30 days</w:t>
      </w:r>
      <w:r w:rsidR="003760CB">
        <w:rPr>
          <w:rFonts w:ascii="Times New Roman" w:eastAsia="Cambria" w:hAnsi="Times New Roman" w:cs="Times New Roman"/>
        </w:rPr>
        <w:t xml:space="preserve"> post discharge for assessing symptoms of head injury </w:t>
      </w:r>
      <w:r w:rsidR="003760CB" w:rsidRPr="003760CB">
        <w:rPr>
          <w:rFonts w:ascii="Times New Roman" w:eastAsia="Cambria" w:hAnsi="Times New Roman" w:cs="Times New Roman"/>
          <w:b/>
        </w:rPr>
        <w:t>(attached is follow up form)</w:t>
      </w:r>
      <w:r>
        <w:rPr>
          <w:rFonts w:ascii="Times New Roman" w:eastAsia="Cambria" w:hAnsi="Times New Roman" w:cs="Times New Roman"/>
        </w:rPr>
        <w:t xml:space="preserve">. Patients not following up in clinic, outcomes will </w:t>
      </w:r>
      <w:r w:rsidR="00AE313F">
        <w:rPr>
          <w:rFonts w:ascii="Times New Roman" w:eastAsia="Cambria" w:hAnsi="Times New Roman" w:cs="Times New Roman"/>
        </w:rPr>
        <w:t>be assessed by a phone call or follow up records for 30 days to see readmission.</w:t>
      </w:r>
      <w:r>
        <w:rPr>
          <w:rFonts w:ascii="Times New Roman" w:eastAsia="Cambria" w:hAnsi="Times New Roman" w:cs="Times New Roman"/>
        </w:rPr>
        <w:t xml:space="preserve"> </w:t>
      </w:r>
    </w:p>
    <w:p w14:paraId="2CD1FE72" w14:textId="17E6A169" w:rsidR="0023700B" w:rsidRPr="001C7039" w:rsidRDefault="0023700B" w:rsidP="00871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ascii="Times New Roman" w:eastAsia="Cambria" w:hAnsi="Times New Roman" w:cs="Times New Roman"/>
        </w:rPr>
      </w:pPr>
      <w:r w:rsidRPr="001C7039">
        <w:rPr>
          <w:rFonts w:ascii="Times New Roman" w:eastAsia="Cambria" w:hAnsi="Times New Roman" w:cs="Times New Roman"/>
        </w:rPr>
        <w:lastRenderedPageBreak/>
        <w:t xml:space="preserve">This study has been approved by the Institutional Review Board at the University of Arizona, College of Medicine and allowed to be performed without consent of the patient. </w:t>
      </w:r>
      <w:r w:rsidRPr="001C7039">
        <w:rPr>
          <w:rFonts w:ascii="Times New Roman" w:eastAsia="Cambria" w:hAnsi="Times New Roman" w:cs="Times New Roman"/>
          <w:b/>
        </w:rPr>
        <w:t>(Attached is the IRB approval)</w:t>
      </w:r>
    </w:p>
    <w:p w14:paraId="27C24731" w14:textId="77777777" w:rsidR="00AD624F" w:rsidRDefault="00AD624F" w:rsidP="002629EE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31F6CB" w14:textId="77777777" w:rsidR="00871887" w:rsidRDefault="00871887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46398F" w14:textId="77777777" w:rsidR="00FC499B" w:rsidRDefault="00FC499B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84BC9F" w14:textId="77777777" w:rsidR="00DC1B63" w:rsidRDefault="00DC1B63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452643" w14:textId="77777777" w:rsidR="00DC1B63" w:rsidRDefault="00DC1B63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D98D9D" w14:textId="77777777" w:rsidR="00DC1B63" w:rsidRDefault="00DC1B63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3E883D" w14:textId="77777777" w:rsidR="00DC1B63" w:rsidRDefault="00DC1B63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FD5093" w14:textId="77777777" w:rsidR="00DC1B63" w:rsidRDefault="00DC1B63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08C4A9" w14:textId="77777777" w:rsidR="00DC1B63" w:rsidRDefault="00DC1B63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6D5625" w14:textId="77777777" w:rsidR="00DC1B63" w:rsidRDefault="00DC1B63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8E9F9B" w14:textId="77777777" w:rsidR="00DC1B63" w:rsidRDefault="00DC1B63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1A9F7E" w14:textId="77777777" w:rsidR="00DC1B63" w:rsidRPr="00060DD1" w:rsidRDefault="00DC1B63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893"/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2610"/>
        <w:gridCol w:w="2248"/>
        <w:gridCol w:w="2430"/>
      </w:tblGrid>
      <w:tr w:rsidR="00871887" w:rsidRPr="00060DD1" w14:paraId="3880BA2B" w14:textId="77777777" w:rsidTr="00F33A17">
        <w:trPr>
          <w:trHeight w:val="383"/>
        </w:trPr>
        <w:tc>
          <w:tcPr>
            <w:tcW w:w="10726" w:type="dxa"/>
            <w:gridSpan w:val="4"/>
            <w:shd w:val="clear" w:color="auto" w:fill="auto"/>
            <w:vAlign w:val="center"/>
          </w:tcPr>
          <w:p w14:paraId="0ED5BB57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6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DD1">
              <w:rPr>
                <w:rFonts w:ascii="Times New Roman" w:hAnsi="Times New Roman"/>
                <w:b/>
                <w:sz w:val="28"/>
                <w:szCs w:val="28"/>
              </w:rPr>
              <w:t>Brain Injury Guidelines</w:t>
            </w:r>
          </w:p>
        </w:tc>
      </w:tr>
      <w:tr w:rsidR="00871887" w:rsidRPr="00060DD1" w14:paraId="2139D2DC" w14:textId="77777777" w:rsidTr="00F33A17">
        <w:trPr>
          <w:trHeight w:val="766"/>
        </w:trPr>
        <w:tc>
          <w:tcPr>
            <w:tcW w:w="3438" w:type="dxa"/>
            <w:shd w:val="clear" w:color="auto" w:fill="auto"/>
            <w:vAlign w:val="center"/>
          </w:tcPr>
          <w:p w14:paraId="3D72DAFD" w14:textId="77777777" w:rsidR="00871887" w:rsidRPr="00060DD1" w:rsidRDefault="00871887" w:rsidP="00F33A17">
            <w:pPr>
              <w:widowControl w:val="0"/>
              <w:tabs>
                <w:tab w:val="left" w:pos="3154"/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DD1">
              <w:rPr>
                <w:rFonts w:ascii="Times New Roman" w:hAnsi="Times New Roman"/>
                <w:b/>
                <w:sz w:val="28"/>
                <w:szCs w:val="28"/>
              </w:rPr>
              <w:t>Variables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A47EDCE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DD1">
              <w:rPr>
                <w:rFonts w:ascii="Times New Roman" w:hAnsi="Times New Roman"/>
                <w:b/>
                <w:sz w:val="28"/>
                <w:szCs w:val="28"/>
              </w:rPr>
              <w:t xml:space="preserve">BIG 1 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47AE622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DD1">
              <w:rPr>
                <w:rFonts w:ascii="Times New Roman" w:hAnsi="Times New Roman"/>
                <w:b/>
                <w:sz w:val="28"/>
                <w:szCs w:val="28"/>
              </w:rPr>
              <w:t xml:space="preserve">BIG 2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9DB6836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DD1">
              <w:rPr>
                <w:rFonts w:ascii="Times New Roman" w:hAnsi="Times New Roman"/>
                <w:b/>
                <w:sz w:val="28"/>
                <w:szCs w:val="28"/>
              </w:rPr>
              <w:t xml:space="preserve">BIG 3 </w:t>
            </w:r>
          </w:p>
        </w:tc>
      </w:tr>
      <w:tr w:rsidR="00871887" w:rsidRPr="00060DD1" w14:paraId="25EF2B9B" w14:textId="77777777" w:rsidTr="00F33A17">
        <w:trPr>
          <w:trHeight w:val="415"/>
        </w:trPr>
        <w:tc>
          <w:tcPr>
            <w:tcW w:w="3438" w:type="dxa"/>
            <w:shd w:val="clear" w:color="auto" w:fill="auto"/>
            <w:vAlign w:val="center"/>
          </w:tcPr>
          <w:p w14:paraId="425B0356" w14:textId="77777777" w:rsidR="00871887" w:rsidRPr="00060DD1" w:rsidRDefault="00871887" w:rsidP="00F33A17">
            <w:pPr>
              <w:widowControl w:val="0"/>
              <w:tabs>
                <w:tab w:val="left" w:pos="3154"/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 xml:space="preserve">     LOC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89BC3AC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Yes/No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AAE779F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Yes/No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22FFC4F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Yes/No</w:t>
            </w:r>
          </w:p>
        </w:tc>
      </w:tr>
      <w:tr w:rsidR="00871887" w:rsidRPr="00060DD1" w14:paraId="71D147FB" w14:textId="77777777" w:rsidTr="00F33A17">
        <w:trPr>
          <w:trHeight w:val="415"/>
        </w:trPr>
        <w:tc>
          <w:tcPr>
            <w:tcW w:w="3438" w:type="dxa"/>
            <w:shd w:val="clear" w:color="auto" w:fill="auto"/>
            <w:vAlign w:val="center"/>
          </w:tcPr>
          <w:p w14:paraId="6368A908" w14:textId="77777777" w:rsidR="00871887" w:rsidRPr="00060DD1" w:rsidRDefault="00871887" w:rsidP="00F33A17">
            <w:pPr>
              <w:widowControl w:val="0"/>
              <w:tabs>
                <w:tab w:val="left" w:pos="3154"/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 xml:space="preserve">     Neurologic </w:t>
            </w:r>
            <w:r>
              <w:rPr>
                <w:rFonts w:ascii="Times New Roman" w:hAnsi="Times New Roman"/>
                <w:sz w:val="28"/>
                <w:szCs w:val="28"/>
              </w:rPr>
              <w:t>e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>xam</w:t>
            </w:r>
            <w:r>
              <w:rPr>
                <w:rFonts w:ascii="Times New Roman" w:hAnsi="Times New Roman"/>
                <w:sz w:val="28"/>
                <w:szCs w:val="28"/>
              </w:rPr>
              <w:t>ination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1297BF0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Normal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F846C78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Normal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6421FF8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Abnormal</w:t>
            </w:r>
          </w:p>
        </w:tc>
      </w:tr>
      <w:tr w:rsidR="00871887" w:rsidRPr="00060DD1" w14:paraId="473BCCF5" w14:textId="77777777" w:rsidTr="00F33A17">
        <w:trPr>
          <w:trHeight w:val="415"/>
        </w:trPr>
        <w:tc>
          <w:tcPr>
            <w:tcW w:w="3438" w:type="dxa"/>
            <w:shd w:val="clear" w:color="auto" w:fill="auto"/>
            <w:vAlign w:val="center"/>
          </w:tcPr>
          <w:p w14:paraId="04C34EB0" w14:textId="77777777" w:rsidR="00871887" w:rsidRPr="00060DD1" w:rsidRDefault="00871887" w:rsidP="00F33A17">
            <w:pPr>
              <w:widowControl w:val="0"/>
              <w:tabs>
                <w:tab w:val="left" w:pos="3154"/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 xml:space="preserve">     Intoxication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3AE7BFF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7D7B91B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No/Yes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9E527FC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No/Yes</w:t>
            </w:r>
          </w:p>
        </w:tc>
      </w:tr>
      <w:tr w:rsidR="00871887" w:rsidRPr="00060DD1" w14:paraId="4D851DF3" w14:textId="77777777" w:rsidTr="00F33A17">
        <w:trPr>
          <w:trHeight w:val="415"/>
        </w:trPr>
        <w:tc>
          <w:tcPr>
            <w:tcW w:w="3438" w:type="dxa"/>
            <w:shd w:val="clear" w:color="auto" w:fill="auto"/>
            <w:vAlign w:val="center"/>
          </w:tcPr>
          <w:p w14:paraId="5C32A7BF" w14:textId="77777777" w:rsidR="00871887" w:rsidRPr="00060DD1" w:rsidRDefault="00871887" w:rsidP="00F33A17">
            <w:pPr>
              <w:widowControl w:val="0"/>
              <w:tabs>
                <w:tab w:val="left" w:pos="3154"/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 xml:space="preserve">     CAMP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E5A34F0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5AD99E8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FF60E07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Yes</w:t>
            </w:r>
          </w:p>
        </w:tc>
      </w:tr>
      <w:tr w:rsidR="00871887" w:rsidRPr="00060DD1" w14:paraId="7103812F" w14:textId="77777777" w:rsidTr="00F33A17">
        <w:trPr>
          <w:trHeight w:val="415"/>
        </w:trPr>
        <w:tc>
          <w:tcPr>
            <w:tcW w:w="3438" w:type="dxa"/>
            <w:shd w:val="clear" w:color="auto" w:fill="auto"/>
            <w:vAlign w:val="center"/>
          </w:tcPr>
          <w:p w14:paraId="06DAD36A" w14:textId="77777777" w:rsidR="00871887" w:rsidRPr="00060DD1" w:rsidRDefault="00871887" w:rsidP="00F33A17">
            <w:pPr>
              <w:widowControl w:val="0"/>
              <w:tabs>
                <w:tab w:val="left" w:pos="3154"/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 xml:space="preserve">     Skull Fracture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3ED3EB6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F8B7E3F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Non</w:t>
            </w:r>
            <w:r>
              <w:rPr>
                <w:rFonts w:ascii="Times New Roman" w:hAnsi="Times New Roman"/>
                <w:sz w:val="28"/>
                <w:szCs w:val="28"/>
              </w:rPr>
              <w:t>-d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>isplaced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576FE37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Displaced</w:t>
            </w:r>
          </w:p>
        </w:tc>
      </w:tr>
      <w:tr w:rsidR="00871887" w:rsidRPr="00060DD1" w14:paraId="139A4B93" w14:textId="77777777" w:rsidTr="00F33A17">
        <w:trPr>
          <w:trHeight w:val="415"/>
        </w:trPr>
        <w:tc>
          <w:tcPr>
            <w:tcW w:w="3438" w:type="dxa"/>
            <w:shd w:val="clear" w:color="auto" w:fill="auto"/>
            <w:vAlign w:val="center"/>
          </w:tcPr>
          <w:p w14:paraId="2E7FD5FF" w14:textId="77777777" w:rsidR="00871887" w:rsidRPr="00060DD1" w:rsidRDefault="00871887" w:rsidP="00F33A17">
            <w:pPr>
              <w:widowControl w:val="0"/>
              <w:tabs>
                <w:tab w:val="left" w:pos="3154"/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 xml:space="preserve">     SDH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9415D18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  <w:u w:val="single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>mm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B9D4A2B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5 - 7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 xml:space="preserve"> mm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C33358E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  <w:u w:val="single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 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>mm</w:t>
            </w:r>
          </w:p>
        </w:tc>
      </w:tr>
      <w:tr w:rsidR="00871887" w:rsidRPr="00060DD1" w14:paraId="34D16974" w14:textId="77777777" w:rsidTr="00F33A17">
        <w:trPr>
          <w:trHeight w:val="415"/>
        </w:trPr>
        <w:tc>
          <w:tcPr>
            <w:tcW w:w="3438" w:type="dxa"/>
            <w:shd w:val="clear" w:color="auto" w:fill="auto"/>
            <w:vAlign w:val="center"/>
          </w:tcPr>
          <w:p w14:paraId="215208B7" w14:textId="77777777" w:rsidR="00871887" w:rsidRPr="00060DD1" w:rsidRDefault="00871887" w:rsidP="00F33A17">
            <w:pPr>
              <w:widowControl w:val="0"/>
              <w:tabs>
                <w:tab w:val="left" w:pos="3154"/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 xml:space="preserve">     EDH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32524CD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  <w:u w:val="single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>mm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301C1E3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5 - 7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 xml:space="preserve"> mm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577ED25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  <w:u w:val="single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 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>mm</w:t>
            </w:r>
          </w:p>
        </w:tc>
      </w:tr>
      <w:tr w:rsidR="00871887" w:rsidRPr="00060DD1" w14:paraId="19EE15AC" w14:textId="77777777" w:rsidTr="00F33A17">
        <w:trPr>
          <w:trHeight w:val="415"/>
        </w:trPr>
        <w:tc>
          <w:tcPr>
            <w:tcW w:w="3438" w:type="dxa"/>
            <w:shd w:val="clear" w:color="auto" w:fill="auto"/>
            <w:vAlign w:val="center"/>
          </w:tcPr>
          <w:p w14:paraId="60C745C7" w14:textId="77777777" w:rsidR="00871887" w:rsidRPr="00060DD1" w:rsidRDefault="00871887" w:rsidP="00F33A17">
            <w:pPr>
              <w:widowControl w:val="0"/>
              <w:tabs>
                <w:tab w:val="left" w:pos="3154"/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 xml:space="preserve">     IPH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7CCDDCD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  <w:u w:val="single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 xml:space="preserve">mm, 1 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>ocation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965DAA3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5 - 7 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 xml:space="preserve">mm,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>ocation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3817EE7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  <w:u w:val="single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 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 xml:space="preserve">mm,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>multiple locations</w:t>
            </w:r>
          </w:p>
        </w:tc>
      </w:tr>
      <w:tr w:rsidR="00871887" w:rsidRPr="00060DD1" w14:paraId="426EA688" w14:textId="77777777" w:rsidTr="00F33A17">
        <w:trPr>
          <w:trHeight w:val="415"/>
        </w:trPr>
        <w:tc>
          <w:tcPr>
            <w:tcW w:w="3438" w:type="dxa"/>
            <w:shd w:val="clear" w:color="auto" w:fill="auto"/>
            <w:vAlign w:val="center"/>
          </w:tcPr>
          <w:p w14:paraId="5DC23256" w14:textId="77777777" w:rsidR="00871887" w:rsidRPr="00060DD1" w:rsidRDefault="00871887" w:rsidP="00F33A17">
            <w:pPr>
              <w:widowControl w:val="0"/>
              <w:tabs>
                <w:tab w:val="left" w:pos="3154"/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 xml:space="preserve">     SAH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E11F8B0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Trace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27E63EA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Localized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5CBB1BF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Scattered</w:t>
            </w:r>
          </w:p>
        </w:tc>
      </w:tr>
      <w:tr w:rsidR="00871887" w:rsidRPr="00060DD1" w14:paraId="0BEF8347" w14:textId="77777777" w:rsidTr="00F33A17">
        <w:trPr>
          <w:trHeight w:val="383"/>
        </w:trPr>
        <w:tc>
          <w:tcPr>
            <w:tcW w:w="3438" w:type="dxa"/>
            <w:shd w:val="clear" w:color="auto" w:fill="auto"/>
            <w:vAlign w:val="center"/>
          </w:tcPr>
          <w:p w14:paraId="29F78773" w14:textId="77777777" w:rsidR="00871887" w:rsidRPr="00060DD1" w:rsidRDefault="00871887" w:rsidP="00F33A17">
            <w:pPr>
              <w:widowControl w:val="0"/>
              <w:tabs>
                <w:tab w:val="left" w:pos="3154"/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 xml:space="preserve">     IVH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8140AAA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3E9E4F6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F019CF7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Yes</w:t>
            </w:r>
          </w:p>
        </w:tc>
      </w:tr>
    </w:tbl>
    <w:p w14:paraId="2DFB71A3" w14:textId="77777777" w:rsidR="00871887" w:rsidRPr="00C2046F" w:rsidRDefault="00871887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0DD1">
        <w:rPr>
          <w:rFonts w:ascii="Times New Roman" w:hAnsi="Times New Roman"/>
          <w:b/>
          <w:sz w:val="28"/>
          <w:szCs w:val="28"/>
          <w:u w:val="single"/>
        </w:rPr>
        <w:t xml:space="preserve">Figure 1 </w:t>
      </w:r>
      <w:r>
        <w:rPr>
          <w:rFonts w:ascii="Times New Roman" w:hAnsi="Times New Roman"/>
          <w:b/>
          <w:sz w:val="28"/>
          <w:szCs w:val="28"/>
          <w:u w:val="single"/>
        </w:rPr>
        <w:t>–</w:t>
      </w:r>
      <w:r w:rsidRPr="00060DD1">
        <w:rPr>
          <w:rFonts w:ascii="Times New Roman" w:hAnsi="Times New Roman"/>
          <w:b/>
          <w:sz w:val="28"/>
          <w:szCs w:val="28"/>
          <w:u w:val="single"/>
        </w:rPr>
        <w:t xml:space="preserve"> Brain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Injury Guidelines</w:t>
      </w:r>
    </w:p>
    <w:p w14:paraId="22433D6D" w14:textId="77777777" w:rsidR="00871887" w:rsidRPr="00C2046F" w:rsidRDefault="00871887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9855D1" w14:textId="77777777" w:rsidR="00871887" w:rsidRPr="00C2046F" w:rsidRDefault="00871887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20F6E2" w14:textId="047B4D7E" w:rsidR="00871887" w:rsidRPr="00060DD1" w:rsidRDefault="00871887" w:rsidP="005A5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BIG, brain injury guidelines; CAMP,</w:t>
      </w:r>
      <w:r w:rsidRPr="00851B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Coumadin, Aspirin, Plavix; </w:t>
      </w:r>
      <w:r w:rsidRPr="00060DD1">
        <w:rPr>
          <w:rFonts w:ascii="Times New Roman" w:hAnsi="Times New Roman"/>
          <w:sz w:val="24"/>
          <w:szCs w:val="24"/>
        </w:rPr>
        <w:t>EDH</w:t>
      </w:r>
      <w:r>
        <w:rPr>
          <w:rFonts w:ascii="Times New Roman" w:hAnsi="Times New Roman"/>
          <w:sz w:val="24"/>
          <w:szCs w:val="24"/>
        </w:rPr>
        <w:t>, epidural hemorrhage</w:t>
      </w:r>
      <w:r w:rsidRPr="00060DD1">
        <w:rPr>
          <w:rFonts w:ascii="Times New Roman" w:hAnsi="Times New Roman"/>
          <w:sz w:val="24"/>
          <w:szCs w:val="24"/>
        </w:rPr>
        <w:t>; IVH</w:t>
      </w:r>
      <w:r>
        <w:rPr>
          <w:rFonts w:ascii="Times New Roman" w:hAnsi="Times New Roman"/>
          <w:sz w:val="24"/>
          <w:szCs w:val="24"/>
        </w:rPr>
        <w:t xml:space="preserve">, intra-ventricular hemorrhage; </w:t>
      </w:r>
      <w:r w:rsidRPr="00060DD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 w:rsidRPr="00060DD1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, intra-parenchymal hemorrhage; LOC, loss of consciousness; NSC, neurosurgical consultation; RHCT, repeat head computed tomography; </w:t>
      </w:r>
      <w:r w:rsidRPr="00060DD1">
        <w:rPr>
          <w:rFonts w:ascii="Times New Roman" w:hAnsi="Times New Roman"/>
          <w:sz w:val="24"/>
          <w:szCs w:val="24"/>
        </w:rPr>
        <w:t>SAH</w:t>
      </w:r>
      <w:r>
        <w:rPr>
          <w:rFonts w:ascii="Times New Roman" w:hAnsi="Times New Roman"/>
          <w:sz w:val="24"/>
          <w:szCs w:val="24"/>
        </w:rPr>
        <w:t xml:space="preserve">, subarachnoid hemorrhage; </w:t>
      </w:r>
      <w:r w:rsidRPr="00060DD1">
        <w:rPr>
          <w:rFonts w:ascii="Times New Roman" w:hAnsi="Times New Roman"/>
          <w:sz w:val="24"/>
          <w:szCs w:val="24"/>
        </w:rPr>
        <w:t>SDH</w:t>
      </w:r>
      <w:r>
        <w:rPr>
          <w:rFonts w:ascii="Times New Roman" w:hAnsi="Times New Roman"/>
          <w:sz w:val="24"/>
          <w:szCs w:val="24"/>
        </w:rPr>
        <w:t>, subdural hemorrhage</w:t>
      </w:r>
    </w:p>
    <w:p w14:paraId="26AC32A4" w14:textId="77777777" w:rsidR="00871887" w:rsidRDefault="00871887" w:rsidP="002629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F2D980" w14:textId="77777777" w:rsidR="003760CB" w:rsidRDefault="003760CB" w:rsidP="00AD624F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8EB8A1" w14:textId="77777777" w:rsidR="003760CB" w:rsidRDefault="003760CB" w:rsidP="00AD624F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4DA3A5" w14:textId="77777777" w:rsidR="003760CB" w:rsidRDefault="003760CB" w:rsidP="00AD624F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8BE2C2" w14:textId="77777777" w:rsidR="003760CB" w:rsidRDefault="003760CB" w:rsidP="00AD624F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8702F1" w14:textId="77777777" w:rsidR="003760CB" w:rsidRDefault="003760CB" w:rsidP="00AD624F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458248" w14:textId="77777777" w:rsidR="00104826" w:rsidRDefault="00104826" w:rsidP="00AD624F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A3EB30" w14:textId="77777777" w:rsidR="00104826" w:rsidRDefault="00104826" w:rsidP="00AD624F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823A9F" w14:textId="77777777" w:rsidR="00104826" w:rsidRDefault="00104826" w:rsidP="00AD624F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BA5729" w14:textId="77777777" w:rsidR="00104826" w:rsidRDefault="00104826" w:rsidP="00AD624F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88C8EA" w14:textId="77777777" w:rsidR="003760CB" w:rsidRDefault="003760CB" w:rsidP="00AD624F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90B265" w14:textId="77777777" w:rsidR="003760CB" w:rsidRDefault="003760CB" w:rsidP="00AD624F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7CEEF7" w14:textId="77777777" w:rsidR="00AD624F" w:rsidRPr="00871887" w:rsidRDefault="00AD624F" w:rsidP="00AD624F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887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14:paraId="28E865C7" w14:textId="77777777" w:rsidR="00AD624F" w:rsidRPr="00AD624F" w:rsidRDefault="00AD624F" w:rsidP="00AD62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D624F">
        <w:rPr>
          <w:rFonts w:ascii="Times New Roman" w:hAnsi="Times New Roman" w:cs="Times New Roman"/>
        </w:rPr>
        <w:t xml:space="preserve">CDC IPaC. Traumatic Brain Injury, </w:t>
      </w:r>
      <w:hyperlink r:id="rId5" w:history="1">
        <w:r w:rsidRPr="00AD624F">
          <w:rPr>
            <w:rStyle w:val="Hyperlink"/>
            <w:rFonts w:ascii="Times New Roman" w:hAnsi="Times New Roman" w:cs="Times New Roman"/>
            <w:u w:val="none"/>
          </w:rPr>
          <w:t>http://www.cdc.gov/traumaticbraininjury/statistics.html. Accessed 12</w:t>
        </w:r>
        <w:r w:rsidRPr="00AD624F">
          <w:rPr>
            <w:rStyle w:val="Hyperlink"/>
            <w:rFonts w:ascii="Times New Roman" w:hAnsi="Times New Roman" w:cs="Times New Roman"/>
            <w:u w:val="none"/>
            <w:vertAlign w:val="superscript"/>
          </w:rPr>
          <w:t xml:space="preserve">th </w:t>
        </w:r>
        <w:r w:rsidRPr="00AD624F">
          <w:rPr>
            <w:rStyle w:val="Hyperlink"/>
            <w:rFonts w:ascii="Times New Roman" w:hAnsi="Times New Roman" w:cs="Times New Roman"/>
            <w:u w:val="none"/>
          </w:rPr>
          <w:t>January 2014</w:t>
        </w:r>
      </w:hyperlink>
      <w:r w:rsidRPr="00AD624F">
        <w:rPr>
          <w:rFonts w:ascii="Times New Roman" w:hAnsi="Times New Roman" w:cs="Times New Roman"/>
        </w:rPr>
        <w:t>.</w:t>
      </w:r>
    </w:p>
    <w:p w14:paraId="76955A48" w14:textId="77777777" w:rsidR="00AD624F" w:rsidRPr="00AD624F" w:rsidRDefault="00AD624F" w:rsidP="00AD62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D624F">
        <w:rPr>
          <w:rFonts w:ascii="Times New Roman" w:hAnsi="Times New Roman" w:cs="Times New Roman"/>
          <w:color w:val="000000"/>
          <w:shd w:val="clear" w:color="auto" w:fill="FFFFFF"/>
        </w:rPr>
        <w:t>Centers for Disease Control and Prevention (CDC), National Center for Injury Prevention and Control. Report to Congress on mild traumatic brain injury in the United States: steps to prevent a serious public health problem. Atlanta (GA): Centers for Disease Control and Prevention; 2003.</w:t>
      </w:r>
    </w:p>
    <w:p w14:paraId="5AB577F0" w14:textId="77777777" w:rsidR="00AD624F" w:rsidRPr="00AD624F" w:rsidRDefault="00AD624F" w:rsidP="00AD62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D624F">
        <w:rPr>
          <w:rFonts w:ascii="Times New Roman" w:hAnsi="Times New Roman" w:cs="Times New Roman"/>
        </w:rPr>
        <w:t>Huynh T, Jacobs DG, Dix S. Utility of neurosurgical consultation for mild traumatic brain injury. Am Surg 2006 Dec;72(12):1162-5; discussion 1166-7.</w:t>
      </w:r>
    </w:p>
    <w:p w14:paraId="7EC70EB8" w14:textId="77777777" w:rsidR="00AD624F" w:rsidRPr="00AD624F" w:rsidRDefault="00AD624F" w:rsidP="00AD624F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HAnsi" w:hAnsi="Times New Roman" w:cs="Times New Roman"/>
        </w:rPr>
      </w:pPr>
      <w:r w:rsidRPr="00AD624F">
        <w:rPr>
          <w:rFonts w:ascii="Times New Roman" w:eastAsia="Calibri" w:hAnsi="Times New Roman" w:cs="Times New Roman"/>
        </w:rPr>
        <w:t>Rhodes M, Lester M, Morrow M. Selective neurosurgical consultation for trauma. J Trauma 1993;35:979.</w:t>
      </w:r>
    </w:p>
    <w:p w14:paraId="358CB58F" w14:textId="77777777" w:rsidR="00AD624F" w:rsidRPr="00AD624F" w:rsidRDefault="00AD624F" w:rsidP="00AD62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365A7">
        <w:rPr>
          <w:rFonts w:ascii="Times New Roman" w:hAnsi="Times New Roman" w:cs="Times New Roman"/>
          <w:lang w:val="nl-NL"/>
        </w:rPr>
        <w:t xml:space="preserve">Klein Y, Donchik V, Jaffe D, et al. </w:t>
      </w:r>
      <w:r w:rsidRPr="00AD624F">
        <w:rPr>
          <w:rFonts w:ascii="Times New Roman" w:hAnsi="Times New Roman" w:cs="Times New Roman"/>
        </w:rPr>
        <w:t xml:space="preserve">Management of patients with traumatic intracranial injury in hospitals without neurosurgical service. J Trauma. 2010 Sep; 69(3):544-8. </w:t>
      </w:r>
    </w:p>
    <w:p w14:paraId="721E0D95" w14:textId="77777777" w:rsidR="00AD624F" w:rsidRPr="00AD624F" w:rsidRDefault="00AD624F" w:rsidP="00AD62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365A7">
        <w:rPr>
          <w:rFonts w:ascii="Times New Roman" w:hAnsi="Times New Roman" w:cs="Times New Roman"/>
          <w:bCs/>
          <w:lang w:val="da-DK"/>
        </w:rPr>
        <w:t xml:space="preserve">Wu C, Orringer DA, Lau D, et al. </w:t>
      </w:r>
      <w:r w:rsidRPr="00AD624F">
        <w:rPr>
          <w:rFonts w:ascii="Times New Roman" w:hAnsi="Times New Roman" w:cs="Times New Roman"/>
          <w:bCs/>
        </w:rPr>
        <w:t>Cumulative incidence and predictors of neurosurgical interventions following nonsevere traumatic brain injury with mildly abnormal head imaging findings.</w:t>
      </w:r>
      <w:r w:rsidRPr="00AD624F">
        <w:rPr>
          <w:rFonts w:ascii="Times New Roman" w:hAnsi="Times New Roman" w:cs="Times New Roman"/>
        </w:rPr>
        <w:t xml:space="preserve"> J Trauma Acute Care Surg. 2012 Nov;73(5):1247-53. </w:t>
      </w:r>
    </w:p>
    <w:p w14:paraId="05FBF6C8" w14:textId="77777777" w:rsidR="00AD624F" w:rsidRPr="00AD624F" w:rsidRDefault="00AD624F" w:rsidP="00AD62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365A7">
        <w:rPr>
          <w:rFonts w:ascii="Times New Roman" w:hAnsi="Times New Roman" w:cs="Times New Roman"/>
          <w:lang w:val="da-DK"/>
        </w:rPr>
        <w:t xml:space="preserve">Brown C.V., Weng J, Oh D, et al. </w:t>
      </w:r>
      <w:r w:rsidRPr="00AD624F">
        <w:rPr>
          <w:rFonts w:ascii="Times New Roman" w:hAnsi="Times New Roman" w:cs="Times New Roman"/>
        </w:rPr>
        <w:t>Does routine serial computed tomography of the head influence management of traumatic brain injury? A prospective evaluation. J Trauma. 2004; 57(5):939-43.</w:t>
      </w:r>
    </w:p>
    <w:p w14:paraId="2E370EA1" w14:textId="77777777" w:rsidR="00AD624F" w:rsidRPr="00AD624F" w:rsidRDefault="00AD624F" w:rsidP="00AD62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D624F">
        <w:rPr>
          <w:rFonts w:ascii="Times New Roman" w:hAnsi="Times New Roman" w:cs="Times New Roman"/>
        </w:rPr>
        <w:lastRenderedPageBreak/>
        <w:t>Joseph B, Aziz H, Pandit V, et al A Prospective Three Year Study of Repeat Head Computed Tomography in Traumatic Brain Injury</w:t>
      </w:r>
      <w:r w:rsidRPr="00AD624F">
        <w:rPr>
          <w:rFonts w:ascii="Times New Roman" w:hAnsi="Times New Roman" w:cs="Times New Roman"/>
          <w:bCs/>
        </w:rPr>
        <w:t xml:space="preserve">.  </w:t>
      </w:r>
      <w:r w:rsidRPr="00AD624F">
        <w:rPr>
          <w:rFonts w:ascii="Times New Roman" w:hAnsi="Times New Roman" w:cs="Times New Roman"/>
        </w:rPr>
        <w:t>Journal of American College of Surgeons. [Accepted, Due for Print 2014].</w:t>
      </w:r>
    </w:p>
    <w:p w14:paraId="11390444" w14:textId="77777777" w:rsidR="00AD624F" w:rsidRPr="00AD624F" w:rsidRDefault="00AD624F" w:rsidP="00AD62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365A7">
        <w:rPr>
          <w:rFonts w:ascii="Times New Roman" w:hAnsi="Times New Roman" w:cs="Times New Roman"/>
          <w:lang w:val="fr-FR"/>
        </w:rPr>
        <w:t xml:space="preserve">Aziz H, Rhee P, Pandit V, et al.  </w:t>
      </w:r>
      <w:r w:rsidRPr="00AD624F">
        <w:rPr>
          <w:rFonts w:ascii="Times New Roman" w:hAnsi="Times New Roman" w:cs="Times New Roman"/>
        </w:rPr>
        <w:t xml:space="preserve">Mild and moderate pediatric traumatic brain injury: replace routine repeat head computed tomography with neurologic examination.  J Trauma Acute Care Surg. 2013 Oct; 75(4):550-4. </w:t>
      </w:r>
    </w:p>
    <w:p w14:paraId="7513CA6D" w14:textId="77777777" w:rsidR="00871887" w:rsidRDefault="00AD624F" w:rsidP="00AD62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D624F">
        <w:rPr>
          <w:rFonts w:ascii="Times New Roman" w:hAnsi="Times New Roman" w:cs="Times New Roman"/>
          <w:color w:val="000000" w:themeColor="text1"/>
        </w:rPr>
        <w:t xml:space="preserve">Joseph B, Friese R.S, Sadoun M et al. The Brain Injury Guidelines Project: Defining the management of Traumatic Brain injury by Acute Care Surgeons. J Trauma Acute CareSurg, (Accepted </w:t>
      </w:r>
      <w:r w:rsidRPr="00AD624F">
        <w:rPr>
          <w:rFonts w:ascii="Times New Roman" w:hAnsi="Times New Roman" w:cs="Times New Roman"/>
        </w:rPr>
        <w:t xml:space="preserve">Due for print 2014) </w:t>
      </w:r>
    </w:p>
    <w:p w14:paraId="55E92B7F" w14:textId="77777777" w:rsidR="0042263B" w:rsidRPr="0042263B" w:rsidRDefault="0042263B" w:rsidP="004226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D624F">
        <w:rPr>
          <w:rFonts w:ascii="Times New Roman" w:hAnsi="Times New Roman" w:cs="Times New Roman"/>
          <w:color w:val="000000" w:themeColor="text1"/>
        </w:rPr>
        <w:t xml:space="preserve">Joseph B, Aziz H, Sadoun M et al. The Acute Care Surgery Model: Managing Traumatic Brain Injury without an Inpatient Neurosurgical Consultation. J Trauma Acute Care Surg. 2013 Jul;75(1):102-5  </w:t>
      </w:r>
    </w:p>
    <w:p w14:paraId="6D369654" w14:textId="208753D2" w:rsidR="0042263B" w:rsidRPr="00AD624F" w:rsidRDefault="0042263B" w:rsidP="004226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Joseph B, Aziz H, Pandit V et al Prospective Validation of the Brain Injury Guidelines: Managing Traumatic Brain Injury Without Neurosurgical Consultation. (Abstract presented at the Annual Meeting of the Western Association for the Surgery of Trauma, 2014).</w:t>
      </w:r>
    </w:p>
    <w:p w14:paraId="628CFD95" w14:textId="77777777" w:rsidR="0042263B" w:rsidRPr="00AD624F" w:rsidRDefault="0042263B" w:rsidP="0042263B">
      <w:pPr>
        <w:pStyle w:val="ListParagraph"/>
        <w:spacing w:line="360" w:lineRule="auto"/>
        <w:rPr>
          <w:rFonts w:ascii="Times New Roman" w:hAnsi="Times New Roman" w:cs="Times New Roman"/>
        </w:rPr>
      </w:pPr>
    </w:p>
    <w:sectPr w:rsidR="0042263B" w:rsidRPr="00AD6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3980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46055DDD"/>
    <w:multiLevelType w:val="hybridMultilevel"/>
    <w:tmpl w:val="39504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A7640D"/>
    <w:multiLevelType w:val="hybridMultilevel"/>
    <w:tmpl w:val="41747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EE"/>
    <w:rsid w:val="000C4BDB"/>
    <w:rsid w:val="00104826"/>
    <w:rsid w:val="001533B6"/>
    <w:rsid w:val="001C223A"/>
    <w:rsid w:val="001C2299"/>
    <w:rsid w:val="001C7039"/>
    <w:rsid w:val="0023700B"/>
    <w:rsid w:val="002629EE"/>
    <w:rsid w:val="002B47E6"/>
    <w:rsid w:val="00360FB8"/>
    <w:rsid w:val="003760CB"/>
    <w:rsid w:val="003C3D2F"/>
    <w:rsid w:val="0042263B"/>
    <w:rsid w:val="004544F6"/>
    <w:rsid w:val="0046365C"/>
    <w:rsid w:val="004B42A3"/>
    <w:rsid w:val="004C0A5F"/>
    <w:rsid w:val="004C5B94"/>
    <w:rsid w:val="005605CC"/>
    <w:rsid w:val="005A51D8"/>
    <w:rsid w:val="005A706D"/>
    <w:rsid w:val="006054A1"/>
    <w:rsid w:val="00607995"/>
    <w:rsid w:val="00633D2F"/>
    <w:rsid w:val="007F2838"/>
    <w:rsid w:val="00871887"/>
    <w:rsid w:val="009D1005"/>
    <w:rsid w:val="009E762E"/>
    <w:rsid w:val="009F26DC"/>
    <w:rsid w:val="00A21901"/>
    <w:rsid w:val="00AD624F"/>
    <w:rsid w:val="00AD710D"/>
    <w:rsid w:val="00AE313F"/>
    <w:rsid w:val="00B52365"/>
    <w:rsid w:val="00C9400C"/>
    <w:rsid w:val="00D119D0"/>
    <w:rsid w:val="00D826C7"/>
    <w:rsid w:val="00DC1B63"/>
    <w:rsid w:val="00EF3026"/>
    <w:rsid w:val="00F30DF9"/>
    <w:rsid w:val="00F365A7"/>
    <w:rsid w:val="00F87F65"/>
    <w:rsid w:val="00FA507A"/>
    <w:rsid w:val="00F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D4FCF2"/>
  <w15:docId w15:val="{EB4CC1D5-0CA3-4805-8091-BB7AC1B6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18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1887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ListBullet2">
    <w:name w:val="List Bullet 2"/>
    <w:basedOn w:val="Normal"/>
    <w:rsid w:val="00871887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dc.gov/traumaticbraininjury/statistics.html.%20Accessed%2012th%20January%202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Medicine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 Pandit</dc:creator>
  <cp:lastModifiedBy>Brea Sanders</cp:lastModifiedBy>
  <cp:revision>2</cp:revision>
  <dcterms:created xsi:type="dcterms:W3CDTF">2017-10-05T18:44:00Z</dcterms:created>
  <dcterms:modified xsi:type="dcterms:W3CDTF">2017-10-05T18:44:00Z</dcterms:modified>
</cp:coreProperties>
</file>