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1A49" w14:textId="483DE509" w:rsidR="00D537A3" w:rsidRDefault="00D537A3" w:rsidP="00D537A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Burn Subtrack FAQ</w:t>
      </w:r>
    </w:p>
    <w:p w14:paraId="504FF986" w14:textId="77777777" w:rsidR="00D537A3" w:rsidRDefault="00D537A3" w:rsidP="00D537A3">
      <w:pPr>
        <w:rPr>
          <w:rFonts w:ascii="Times New Roman" w:hAnsi="Times New Roman" w:cs="Times New Roman"/>
          <w:u w:val="single"/>
        </w:rPr>
      </w:pPr>
    </w:p>
    <w:p w14:paraId="3C40FD83" w14:textId="52C053B0" w:rsidR="00D537A3" w:rsidRDefault="00D537A3" w:rsidP="00D537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Goal : To increase competency in burn resuscitation and early management among Acute Care Surgeons</w:t>
      </w:r>
    </w:p>
    <w:p w14:paraId="30956808" w14:textId="194EB924" w:rsidR="00D537A3" w:rsidRDefault="00D537A3" w:rsidP="00D537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Upon completion of the subtrack, fellows will receive an ACS fellowship certificate indicating Special Expertise in Burn Resuscitation and Early Management</w:t>
      </w:r>
    </w:p>
    <w:p w14:paraId="242D77D2" w14:textId="10FD1B6E" w:rsidR="00D537A3" w:rsidRDefault="00D537A3" w:rsidP="00D537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Integrated into the 2 year ACS Fellowship</w:t>
      </w:r>
    </w:p>
    <w:p w14:paraId="25A23A99" w14:textId="5B0EFBC9" w:rsidR="00D537A3" w:rsidRDefault="00D537A3" w:rsidP="00D537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month, or equivalent, of Burn ICU experience during the critical care year</w:t>
      </w:r>
    </w:p>
    <w:p w14:paraId="31944797" w14:textId="07F56E8E" w:rsidR="00D537A3" w:rsidRDefault="00D537A3" w:rsidP="00D537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2-3 months of Burn-specific content during the ACS year.  This may occur as dedicated months or in another fashion to allow fellows to meet case numbers and exposure.  Clinical content should include</w:t>
      </w:r>
    </w:p>
    <w:p w14:paraId="089AE192" w14:textId="5A66E8D6" w:rsidR="00D537A3" w:rsidRDefault="00D537A3" w:rsidP="00D537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Burn resuscitations, including TBSA &gt; 20%</w:t>
      </w:r>
    </w:p>
    <w:p w14:paraId="33FCEF30" w14:textId="2CD823B7" w:rsidR="00D537A3" w:rsidRDefault="00D537A3" w:rsidP="00D537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Excision and grafting of major burns</w:t>
      </w:r>
    </w:p>
    <w:p w14:paraId="55D75969" w14:textId="4B3388BE" w:rsidR="00D537A3" w:rsidRDefault="00D537A3" w:rsidP="00D537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Management of burns to the hands and face</w:t>
      </w:r>
    </w:p>
    <w:p w14:paraId="2BAA7168" w14:textId="49B8504C" w:rsidR="00D537A3" w:rsidRDefault="00D537A3" w:rsidP="00D537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Escharotomies and fasciotomies</w:t>
      </w:r>
    </w:p>
    <w:p w14:paraId="31B55B75" w14:textId="4C9065CF" w:rsidR="00D537A3" w:rsidRDefault="00D537A3" w:rsidP="00D537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Management of major electrical injuries</w:t>
      </w:r>
    </w:p>
    <w:p w14:paraId="1964044E" w14:textId="6C3E2BEA" w:rsidR="00D537A3" w:rsidRDefault="00D537A3" w:rsidP="00D537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Inhalational injuries</w:t>
      </w:r>
    </w:p>
    <w:p w14:paraId="0E76336A" w14:textId="07321862" w:rsidR="00D537A3" w:rsidRDefault="00D537A3" w:rsidP="00D537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Outpatient care of burns and chronic wounds</w:t>
      </w:r>
    </w:p>
    <w:p w14:paraId="4EA66E80" w14:textId="03986A51" w:rsidR="00D537A3" w:rsidRDefault="00D537A3" w:rsidP="00D537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Participating sites must be affiliated with an ABA-verified burn center</w:t>
      </w:r>
    </w:p>
    <w:p w14:paraId="11650D6A" w14:textId="1EA66A9F" w:rsidR="00D537A3" w:rsidRDefault="00D537A3" w:rsidP="00D537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burn surgery liaison must be identified to oversee the burn-specific clinical content</w:t>
      </w:r>
    </w:p>
    <w:p w14:paraId="6AA2E90A" w14:textId="4B9DB58E" w:rsidR="00D537A3" w:rsidRDefault="00D537A3" w:rsidP="00D537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Educational content will include</w:t>
      </w:r>
    </w:p>
    <w:p w14:paraId="61D72A82" w14:textId="50DC8A4C" w:rsidR="00D537A3" w:rsidRDefault="00D537A3" w:rsidP="00D537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Certification in Advanced Burn Life Support</w:t>
      </w:r>
    </w:p>
    <w:p w14:paraId="540CAD88" w14:textId="5CC506D7" w:rsidR="00D537A3" w:rsidRDefault="00D537A3" w:rsidP="00D537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Burn-specific curricul</w:t>
      </w:r>
      <w:r w:rsidR="00F678DA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m including Meet the Mentors</w:t>
      </w:r>
      <w:r w:rsidR="00E36CF1">
        <w:rPr>
          <w:rFonts w:ascii="Times New Roman" w:hAnsi="Times New Roman" w:cs="Times New Roman"/>
        </w:rPr>
        <w:t>, reading and lecture content</w:t>
      </w:r>
    </w:p>
    <w:p w14:paraId="57796C7F" w14:textId="77777777" w:rsidR="00D537A3" w:rsidRDefault="00D537A3" w:rsidP="00D537A3">
      <w:pPr>
        <w:pStyle w:val="ListParagraph"/>
        <w:ind w:left="1440"/>
        <w:rPr>
          <w:rFonts w:ascii="Times New Roman" w:hAnsi="Times New Roman" w:cs="Times New Roman"/>
        </w:rPr>
      </w:pPr>
    </w:p>
    <w:p w14:paraId="5B3B1441" w14:textId="77777777" w:rsidR="00D537A3" w:rsidRDefault="00D537A3" w:rsidP="00D537A3">
      <w:pPr>
        <w:pStyle w:val="ListParagraph"/>
        <w:ind w:left="1440"/>
        <w:rPr>
          <w:rFonts w:ascii="Times New Roman" w:hAnsi="Times New Roman" w:cs="Times New Roman"/>
        </w:rPr>
      </w:pPr>
    </w:p>
    <w:p w14:paraId="756E439F" w14:textId="0A45AAF9" w:rsidR="00D537A3" w:rsidRPr="00E36CF1" w:rsidRDefault="00D537A3" w:rsidP="00D537A3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</w:rPr>
        <w:t>Application requires a supplement to the PIF and dedicated burn interview time during the site visit</w:t>
      </w:r>
    </w:p>
    <w:p w14:paraId="2DBCD585" w14:textId="16813A1A" w:rsidR="00E36CF1" w:rsidRDefault="00E36CF1" w:rsidP="00D537A3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</w:rPr>
        <w:t>Addition of the subtrack does not change the case requirements for the ACS fellowship</w:t>
      </w:r>
    </w:p>
    <w:p w14:paraId="7B227D6F" w14:textId="77777777" w:rsidR="00D537A3" w:rsidRPr="00D537A3" w:rsidRDefault="00D537A3" w:rsidP="00D537A3">
      <w:pPr>
        <w:pStyle w:val="ListParagraph"/>
        <w:rPr>
          <w:rFonts w:ascii="Times New Roman" w:hAnsi="Times New Roman" w:cs="Times New Roman"/>
        </w:rPr>
      </w:pPr>
    </w:p>
    <w:p w14:paraId="5ADB55D5" w14:textId="77777777" w:rsidR="00D537A3" w:rsidRPr="00C77C09" w:rsidRDefault="00D537A3" w:rsidP="00D537A3">
      <w:pPr>
        <w:rPr>
          <w:rFonts w:ascii="Times New Roman" w:hAnsi="Times New Roman" w:cs="Times New Roman"/>
          <w:u w:val="single"/>
        </w:rPr>
      </w:pPr>
    </w:p>
    <w:p w14:paraId="14BA4E1A" w14:textId="4DE38D1F" w:rsidR="00E25402" w:rsidRDefault="00FB444A" w:rsidP="00F678DA"/>
    <w:sectPr w:rsidR="00E25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A3835"/>
    <w:multiLevelType w:val="hybridMultilevel"/>
    <w:tmpl w:val="D8606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B742F"/>
    <w:multiLevelType w:val="hybridMultilevel"/>
    <w:tmpl w:val="FBA80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46A33"/>
    <w:multiLevelType w:val="hybridMultilevel"/>
    <w:tmpl w:val="C39CE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C1D35"/>
    <w:multiLevelType w:val="hybridMultilevel"/>
    <w:tmpl w:val="43D0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A3"/>
    <w:rsid w:val="00124B87"/>
    <w:rsid w:val="00131DCF"/>
    <w:rsid w:val="001B6A73"/>
    <w:rsid w:val="00224B29"/>
    <w:rsid w:val="002B724F"/>
    <w:rsid w:val="002C593F"/>
    <w:rsid w:val="002E1E53"/>
    <w:rsid w:val="00342E68"/>
    <w:rsid w:val="0056621F"/>
    <w:rsid w:val="00575560"/>
    <w:rsid w:val="005A38A2"/>
    <w:rsid w:val="005D3177"/>
    <w:rsid w:val="0075002E"/>
    <w:rsid w:val="00793FCC"/>
    <w:rsid w:val="007D4CE1"/>
    <w:rsid w:val="007E50D1"/>
    <w:rsid w:val="007E6851"/>
    <w:rsid w:val="00936398"/>
    <w:rsid w:val="009E6B7B"/>
    <w:rsid w:val="00A4643A"/>
    <w:rsid w:val="00AF6E87"/>
    <w:rsid w:val="00B2389F"/>
    <w:rsid w:val="00B25056"/>
    <w:rsid w:val="00CC28B6"/>
    <w:rsid w:val="00CE44A7"/>
    <w:rsid w:val="00D52E44"/>
    <w:rsid w:val="00D537A3"/>
    <w:rsid w:val="00D64EE7"/>
    <w:rsid w:val="00DA25A9"/>
    <w:rsid w:val="00E33F71"/>
    <w:rsid w:val="00E36CF1"/>
    <w:rsid w:val="00E675E9"/>
    <w:rsid w:val="00F6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3FE6"/>
  <w15:chartTrackingRefBased/>
  <w15:docId w15:val="{42460E50-09C2-984D-9B23-E0D6C663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 SAVAGE</dc:creator>
  <cp:keywords/>
  <dc:description/>
  <cp:lastModifiedBy>STEPHANIE A SAVAGE</cp:lastModifiedBy>
  <cp:revision>2</cp:revision>
  <dcterms:created xsi:type="dcterms:W3CDTF">2023-12-20T02:20:00Z</dcterms:created>
  <dcterms:modified xsi:type="dcterms:W3CDTF">2023-12-20T02:20:00Z</dcterms:modified>
</cp:coreProperties>
</file>